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C2845D">
      <w:pPr>
        <w:pStyle w:val="5"/>
        <w:rPr>
          <w:color w:val="000000" w:themeColor="text1"/>
          <w14:textFill>
            <w14:solidFill>
              <w14:schemeClr w14:val="tx1"/>
            </w14:solidFill>
          </w14:textFill>
        </w:rPr>
        <w:sectPr>
          <w:head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-224790</wp:posOffset>
                </wp:positionH>
                <wp:positionV relativeFrom="paragraph">
                  <wp:posOffset>1181100</wp:posOffset>
                </wp:positionV>
                <wp:extent cx="5772150" cy="97726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310130" y="1918970"/>
                          <a:ext cx="5772150" cy="9772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7CDAD0">
                            <w:pPr>
                              <w:jc w:val="center"/>
                              <w:rPr>
                                <w:rFonts w:ascii="仿宋" w:hAnsi="仿宋" w:eastAsia="仿宋" w:cs="仿宋"/>
                                <w:b/>
                                <w:color w:val="FFFFFF" w:themeColor="background1"/>
                                <w:sz w:val="48"/>
                                <w:szCs w:val="48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b/>
                                <w:color w:val="FFFFFF" w:themeColor="background1"/>
                                <w:sz w:val="48"/>
                                <w:szCs w:val="48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初中物理实验操作考试</w:t>
                            </w:r>
                          </w:p>
                          <w:p w14:paraId="6B9AEA85">
                            <w:pPr>
                              <w:jc w:val="center"/>
                            </w:pPr>
                            <w:r>
                              <w:rPr>
                                <w:rFonts w:hint="eastAsia" w:ascii="仿宋" w:hAnsi="仿宋" w:eastAsia="仿宋" w:cs="仿宋"/>
                                <w:b/>
                                <w:color w:val="FFFFFF" w:themeColor="background1"/>
                                <w:sz w:val="48"/>
                                <w:szCs w:val="48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评分规则手册</w:t>
                            </w:r>
                            <w:r>
                              <w:rPr>
                                <w:rFonts w:hint="eastAsia" w:ascii="黑体" w:hAnsi="黑体" w:eastAsia="黑体"/>
                                <w:color w:val="FFFFFF" w:themeColor="background1"/>
                                <w:sz w:val="44"/>
                                <w:szCs w:val="44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V1.</w:t>
                            </w:r>
                            <w:r>
                              <w:rPr>
                                <w:rFonts w:ascii="黑体" w:hAnsi="黑体" w:eastAsia="黑体"/>
                                <w:color w:val="FFFFFF" w:themeColor="background1"/>
                                <w:sz w:val="44"/>
                                <w:szCs w:val="44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17.7pt;margin-top:93pt;height:76.95pt;width:454.5pt;z-index:251660288;mso-width-relative:page;mso-height-relative:page;" filled="f" stroked="f" coordsize="21600,21600" o:gfxdata="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117CDAD0">
                      <w:pPr>
                        <w:jc w:val="center"/>
                        <w:rPr>
                          <w:rFonts w:ascii="仿宋" w:hAnsi="仿宋" w:eastAsia="仿宋" w:cs="仿宋"/>
                          <w:b/>
                          <w:color w:val="FFFFFF" w:themeColor="background1"/>
                          <w:sz w:val="48"/>
                          <w:szCs w:val="48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仿宋" w:hAnsi="仿宋" w:eastAsia="仿宋" w:cs="仿宋"/>
                          <w:b/>
                          <w:color w:val="FFFFFF" w:themeColor="background1"/>
                          <w:sz w:val="48"/>
                          <w:szCs w:val="48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初中物理实验操作考试</w:t>
                      </w:r>
                    </w:p>
                    <w:p w14:paraId="6B9AEA85">
                      <w:pPr>
                        <w:jc w:val="center"/>
                      </w:pPr>
                      <w:r>
                        <w:rPr>
                          <w:rFonts w:hint="eastAsia" w:ascii="仿宋" w:hAnsi="仿宋" w:eastAsia="仿宋" w:cs="仿宋"/>
                          <w:b/>
                          <w:color w:val="FFFFFF" w:themeColor="background1"/>
                          <w:sz w:val="48"/>
                          <w:szCs w:val="48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评分规则手册</w:t>
                      </w:r>
                      <w:r>
                        <w:rPr>
                          <w:rFonts w:hint="eastAsia" w:ascii="黑体" w:hAnsi="黑体" w:eastAsia="黑体"/>
                          <w:color w:val="FFFFFF" w:themeColor="background1"/>
                          <w:sz w:val="44"/>
                          <w:szCs w:val="44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V1.</w:t>
                      </w:r>
                      <w:r>
                        <w:rPr>
                          <w:rFonts w:ascii="黑体" w:hAnsi="黑体" w:eastAsia="黑体"/>
                          <w:color w:val="FFFFFF" w:themeColor="background1"/>
                          <w:sz w:val="44"/>
                          <w:szCs w:val="44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1963420</wp:posOffset>
                </wp:positionH>
                <wp:positionV relativeFrom="paragraph">
                  <wp:posOffset>7767955</wp:posOffset>
                </wp:positionV>
                <wp:extent cx="1534160" cy="471170"/>
                <wp:effectExtent l="0" t="0" r="0" b="0"/>
                <wp:wrapNone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85390" y="8668385"/>
                          <a:ext cx="1534160" cy="4711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DD11BF">
                            <w:pPr>
                              <w:rPr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202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5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年</w:t>
                            </w:r>
                            <w:r>
                              <w:rPr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4.6pt;margin-top:611.65pt;height:37.1pt;width:120.8pt;z-index:251661312;mso-width-relative:page;mso-height-relative:page;" filled="f" stroked="f" coordsize="21600,21600" o:gfxdata="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C7ZHsA3AAAAA0BAAAPAAAA&#10;AAAAAAEAIAAAACIAAABkcnMvZG93bnJldi54bWxQSwECFAAUAAAACACHTuJAO+yP6UoCAAByBAAA&#10;DgAAAAAAAAABACAAAAArAQAAZHJzL2Uyb0RvYy54bWxQSwUGAAAAAAYABgBZAQAA5w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33DD11BF">
                      <w:pPr>
                        <w:rPr>
                          <w:b/>
                          <w:bCs/>
                          <w:color w:val="FFFFFF" w:themeColor="background1"/>
                          <w:sz w:val="36"/>
                          <w:szCs w:val="36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FFFFFF" w:themeColor="background1"/>
                          <w:sz w:val="36"/>
                          <w:szCs w:val="36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202</w:t>
                      </w:r>
                      <w:r>
                        <w:rPr>
                          <w:b/>
                          <w:bCs/>
                          <w:color w:val="FFFFFF" w:themeColor="background1"/>
                          <w:sz w:val="36"/>
                          <w:szCs w:val="36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5</w:t>
                      </w:r>
                      <w:r>
                        <w:rPr>
                          <w:rFonts w:hint="eastAsia"/>
                          <w:b/>
                          <w:bCs/>
                          <w:color w:val="FFFFFF" w:themeColor="background1"/>
                          <w:sz w:val="36"/>
                          <w:szCs w:val="36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年</w:t>
                      </w:r>
                      <w:r>
                        <w:rPr>
                          <w:b/>
                          <w:bCs/>
                          <w:color w:val="FFFFFF" w:themeColor="background1"/>
                          <w:sz w:val="36"/>
                          <w:szCs w:val="36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4</w:t>
                      </w:r>
                      <w:r>
                        <w:rPr>
                          <w:rFonts w:hint="eastAsia"/>
                          <w:b/>
                          <w:bCs/>
                          <w:color w:val="FFFFFF" w:themeColor="background1"/>
                          <w:sz w:val="36"/>
                          <w:szCs w:val="36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-1141730</wp:posOffset>
                </wp:positionH>
                <wp:positionV relativeFrom="paragraph">
                  <wp:posOffset>-884555</wp:posOffset>
                </wp:positionV>
                <wp:extent cx="7555865" cy="10962005"/>
                <wp:effectExtent l="6350" t="6350" r="19685" b="2349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270" y="29845"/>
                          <a:ext cx="7555865" cy="10962005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3807C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89.9pt;margin-top:-69.65pt;height:863.15pt;width:594.95pt;z-index:251659264;v-text-anchor:middle;mso-width-relative:page;mso-height-relative:page;" fillcolor="#002060" filled="t" stroked="t" coordsize="21600,21600" o:gfxdata="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">
                <v:fill on="t" focussize="0,0"/>
                <v:stroke weight="1pt" color="#41719C [3204]" miterlimit="8" joinstyle="miter"/>
                <v:imagedata o:title=""/>
                <o:lock v:ext="edit" aspectratio="f"/>
                <v:textbox>
                  <w:txbxContent>
                    <w:p w14:paraId="183807C4"/>
                  </w:txbxContent>
                </v:textbox>
              </v:rect>
            </w:pict>
          </mc:Fallback>
        </mc:AlternateContent>
      </w:r>
    </w:p>
    <w:p w14:paraId="114DE143">
      <w:pPr>
        <w:pStyle w:val="5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sdt>
      <w:sdtPr>
        <w:rPr>
          <w:rFonts w:asciiTheme="minorHAnsi" w:hAnsiTheme="minorHAnsi" w:eastAsiaTheme="minorEastAsia" w:cstheme="minorBidi"/>
          <w:b/>
          <w:bCs/>
          <w:color w:val="000000" w:themeColor="text1"/>
          <w:kern w:val="2"/>
          <w:sz w:val="24"/>
          <w:szCs w:val="24"/>
          <w:lang w:val="zh-CN"/>
          <w14:textFill>
            <w14:solidFill>
              <w14:schemeClr w14:val="tx1"/>
            </w14:solidFill>
          </w14:textFill>
        </w:rPr>
        <w:id w:val="464013043"/>
        <w:docPartObj>
          <w:docPartGallery w:val="Table of Contents"/>
          <w:docPartUnique/>
        </w:docPartObj>
      </w:sdtPr>
      <w:sdtEndPr>
        <w:rPr>
          <w:rFonts w:asciiTheme="minorHAnsi" w:hAnsiTheme="minorHAnsi" w:eastAsiaTheme="minorEastAsia" w:cstheme="minorBidi"/>
          <w:b/>
          <w:bCs/>
          <w:color w:val="000000" w:themeColor="text1"/>
          <w:kern w:val="2"/>
          <w:sz w:val="21"/>
          <w:szCs w:val="22"/>
          <w:lang w:val="zh-CN"/>
          <w14:textFill>
            <w14:solidFill>
              <w14:schemeClr w14:val="tx1"/>
            </w14:solidFill>
          </w14:textFill>
        </w:rPr>
      </w:sdtEndPr>
      <w:sdtContent>
        <w:p w14:paraId="02763C28">
          <w:pPr>
            <w:pStyle w:val="18"/>
            <w:spacing w:line="360" w:lineRule="auto"/>
            <w:jc w:val="center"/>
            <w:rPr>
              <w:b/>
              <w:bCs/>
              <w:color w:val="000000" w:themeColor="text1"/>
              <w:sz w:val="24"/>
              <w:szCs w:val="24"/>
              <w14:textFill>
                <w14:solidFill>
                  <w14:schemeClr w14:val="tx1"/>
                </w14:solidFill>
              </w14:textFill>
            </w:rPr>
          </w:pPr>
          <w:bookmarkStart w:id="0" w:name="_Toc12278"/>
          <w:bookmarkStart w:id="1" w:name="_Toc124439139"/>
          <w:r>
            <w:rPr>
              <w:b/>
              <w:bCs/>
              <w:color w:val="000000" w:themeColor="text1"/>
              <w:sz w:val="24"/>
              <w:szCs w:val="24"/>
              <w:lang w:val="zh-CN"/>
              <w14:textFill>
                <w14:solidFill>
                  <w14:schemeClr w14:val="tx1"/>
                </w14:solidFill>
              </w14:textFill>
            </w:rPr>
            <w:t>目</w:t>
          </w:r>
          <w:r>
            <w:rPr>
              <w:rFonts w:hint="eastAsia"/>
              <w:b/>
              <w:bCs/>
              <w:color w:val="000000" w:themeColor="text1"/>
              <w:sz w:val="24"/>
              <w:szCs w:val="24"/>
              <w14:textFill>
                <w14:solidFill>
                  <w14:schemeClr w14:val="tx1"/>
                </w14:solidFill>
              </w14:textFill>
            </w:rPr>
            <w:t xml:space="preserve"> </w:t>
          </w:r>
          <w:r>
            <w:rPr>
              <w:b/>
              <w:bCs/>
              <w:color w:val="000000" w:themeColor="text1"/>
              <w:sz w:val="24"/>
              <w:szCs w:val="24"/>
              <w:lang w:val="zh-CN"/>
              <w14:textFill>
                <w14:solidFill>
                  <w14:schemeClr w14:val="tx1"/>
                </w14:solidFill>
              </w14:textFill>
            </w:rPr>
            <w:t>录</w:t>
          </w:r>
        </w:p>
        <w:p w14:paraId="51F3FF77">
          <w:pPr>
            <w:pStyle w:val="8"/>
            <w:tabs>
              <w:tab w:val="right" w:leader="dot" w:pos="8306"/>
            </w:tabs>
          </w:pPr>
          <w:r>
            <w:rPr>
              <w:color w:val="000000" w:themeColor="text1"/>
              <w:sz w:val="24"/>
              <w:szCs w:val="24"/>
              <w14:textFill>
                <w14:solidFill>
                  <w14:schemeClr w14:val="tx1"/>
                </w14:solidFill>
              </w14:textFill>
            </w:rPr>
            <w:fldChar w:fldCharType="begin"/>
          </w:r>
          <w:r>
            <w:rPr>
              <w:color w:val="000000" w:themeColor="text1"/>
              <w:sz w:val="24"/>
              <w:szCs w:val="24"/>
              <w14:textFill>
                <w14:solidFill>
                  <w14:schemeClr w14:val="tx1"/>
                </w14:solidFill>
              </w14:textFill>
            </w:rPr>
            <w:instrText xml:space="preserve"> TOC \o "1-3" \h \z \u </w:instrText>
          </w:r>
          <w:r>
            <w:rPr>
              <w:color w:val="000000" w:themeColor="text1"/>
              <w:sz w:val="24"/>
              <w:szCs w:val="24"/>
              <w14:textFill>
                <w14:solidFill>
                  <w14:schemeClr w14:val="tx1"/>
                </w14:solidFill>
              </w14:textFill>
            </w:rPr>
            <w:fldChar w:fldCharType="separate"/>
          </w:r>
          <w:r>
            <w:rPr>
              <w:color w:val="000000" w:themeColor="text1"/>
              <w:szCs w:val="24"/>
              <w14:textFill>
                <w14:solidFill>
                  <w14:schemeClr w14:val="tx1"/>
                </w14:solidFill>
              </w14:textFill>
            </w:rPr>
            <w:fldChar w:fldCharType="begin"/>
          </w:r>
          <w:r>
            <w:rPr>
              <w:szCs w:val="24"/>
            </w:rPr>
            <w:instrText xml:space="preserve"> HYPERLINK \l _Toc10406 </w:instrText>
          </w:r>
          <w:r>
            <w:rPr>
              <w:szCs w:val="24"/>
            </w:rPr>
            <w:fldChar w:fldCharType="separate"/>
          </w:r>
          <w:r>
            <w:rPr>
              <w:rFonts w:hint="eastAsia"/>
            </w:rPr>
            <w:t>实验1、用电流表和电压表测电阻</w:t>
          </w:r>
          <w:r>
            <w:tab/>
          </w:r>
          <w:r>
            <w:fldChar w:fldCharType="begin"/>
          </w:r>
          <w:r>
            <w:instrText xml:space="preserve"> PAGEREF _Toc10406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color w:val="000000" w:themeColor="text1"/>
              <w:szCs w:val="24"/>
              <w14:textFill>
                <w14:solidFill>
                  <w14:schemeClr w14:val="tx1"/>
                </w14:solidFill>
              </w14:textFill>
            </w:rPr>
            <w:fldChar w:fldCharType="end"/>
          </w:r>
        </w:p>
        <w:p w14:paraId="0A027FF6">
          <w:pPr>
            <w:pStyle w:val="8"/>
            <w:tabs>
              <w:tab w:val="right" w:leader="dot" w:pos="8306"/>
            </w:tabs>
          </w:pPr>
          <w:r>
            <w:rPr>
              <w:bCs/>
              <w:color w:val="000000" w:themeColor="text1"/>
              <w:szCs w:val="24"/>
              <w:lang w:val="zh-CN"/>
              <w14:textFill>
                <w14:solidFill>
                  <w14:schemeClr w14:val="tx1"/>
                </w14:solidFill>
              </w14:textFill>
            </w:rPr>
            <w:fldChar w:fldCharType="begin"/>
          </w:r>
          <w:r>
            <w:rPr>
              <w:bCs/>
              <w:szCs w:val="24"/>
              <w:lang w:val="zh-CN"/>
            </w:rPr>
            <w:instrText xml:space="preserve"> HYPERLINK \l _Toc25882 </w:instrText>
          </w:r>
          <w:r>
            <w:rPr>
              <w:bCs/>
              <w:szCs w:val="24"/>
              <w:lang w:val="zh-CN"/>
            </w:rPr>
            <w:fldChar w:fldCharType="separate"/>
          </w:r>
          <w:r>
            <w:rPr>
              <w:rFonts w:hint="eastAsia"/>
            </w:rPr>
            <w:t>实验2、</w:t>
          </w:r>
          <w:r>
            <w:t>探究杠杆的平衡条件</w:t>
          </w:r>
          <w:r>
            <w:tab/>
          </w:r>
          <w:r>
            <w:fldChar w:fldCharType="begin"/>
          </w:r>
          <w:r>
            <w:instrText xml:space="preserve"> PAGEREF _Toc25882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bCs/>
              <w:color w:val="000000" w:themeColor="text1"/>
              <w:szCs w:val="24"/>
              <w:lang w:val="zh-CN"/>
              <w14:textFill>
                <w14:solidFill>
                  <w14:schemeClr w14:val="tx1"/>
                </w14:solidFill>
              </w14:textFill>
            </w:rPr>
            <w:fldChar w:fldCharType="end"/>
          </w:r>
        </w:p>
        <w:p w14:paraId="4F29308B">
          <w:pPr>
            <w:pStyle w:val="8"/>
            <w:tabs>
              <w:tab w:val="right" w:leader="dot" w:pos="8306"/>
            </w:tabs>
          </w:pPr>
          <w:r>
            <w:rPr>
              <w:bCs/>
              <w:color w:val="000000" w:themeColor="text1"/>
              <w:szCs w:val="24"/>
              <w:lang w:val="zh-CN"/>
              <w14:textFill>
                <w14:solidFill>
                  <w14:schemeClr w14:val="tx1"/>
                </w14:solidFill>
              </w14:textFill>
            </w:rPr>
            <w:fldChar w:fldCharType="begin"/>
          </w:r>
          <w:r>
            <w:rPr>
              <w:bCs/>
              <w:szCs w:val="24"/>
              <w:lang w:val="zh-CN"/>
            </w:rPr>
            <w:instrText xml:space="preserve"> HYPERLINK \l _Toc2552 </w:instrText>
          </w:r>
          <w:r>
            <w:rPr>
              <w:bCs/>
              <w:szCs w:val="24"/>
              <w:lang w:val="zh-CN"/>
            </w:rPr>
            <w:fldChar w:fldCharType="separate"/>
          </w:r>
          <w:r>
            <w:rPr>
              <w:rFonts w:hint="eastAsia"/>
            </w:rPr>
            <w:t>实验3、探究平面镜成像的特点</w:t>
          </w:r>
          <w:r>
            <w:tab/>
          </w:r>
          <w:r>
            <w:fldChar w:fldCharType="begin"/>
          </w:r>
          <w:r>
            <w:instrText xml:space="preserve"> PAGEREF _Toc2552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bCs/>
              <w:color w:val="000000" w:themeColor="text1"/>
              <w:szCs w:val="24"/>
              <w:lang w:val="zh-CN"/>
              <w14:textFill>
                <w14:solidFill>
                  <w14:schemeClr w14:val="tx1"/>
                </w14:solidFill>
              </w14:textFill>
            </w:rPr>
            <w:fldChar w:fldCharType="end"/>
          </w:r>
        </w:p>
        <w:p w14:paraId="6BDC1EA3">
          <w:pPr>
            <w:pStyle w:val="8"/>
            <w:tabs>
              <w:tab w:val="right" w:leader="dot" w:pos="8306"/>
            </w:tabs>
          </w:pPr>
          <w:r>
            <w:rPr>
              <w:bCs/>
              <w:color w:val="000000" w:themeColor="text1"/>
              <w:szCs w:val="24"/>
              <w:lang w:val="zh-CN"/>
              <w14:textFill>
                <w14:solidFill>
                  <w14:schemeClr w14:val="tx1"/>
                </w14:solidFill>
              </w14:textFill>
            </w:rPr>
            <w:fldChar w:fldCharType="begin"/>
          </w:r>
          <w:r>
            <w:rPr>
              <w:bCs/>
              <w:szCs w:val="24"/>
              <w:lang w:val="zh-CN"/>
            </w:rPr>
            <w:instrText xml:space="preserve"> HYPERLINK \l _Toc6493 </w:instrText>
          </w:r>
          <w:r>
            <w:rPr>
              <w:bCs/>
              <w:szCs w:val="24"/>
              <w:lang w:val="zh-CN"/>
            </w:rPr>
            <w:fldChar w:fldCharType="separate"/>
          </w:r>
          <w:r>
            <w:rPr>
              <w:rFonts w:hint="eastAsia"/>
            </w:rPr>
            <w:t>实验4、探究导体在磁场中运动时产生感应电流的条件</w:t>
          </w:r>
          <w:r>
            <w:tab/>
          </w:r>
          <w:r>
            <w:fldChar w:fldCharType="begin"/>
          </w:r>
          <w:r>
            <w:instrText xml:space="preserve"> PAGEREF _Toc6493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bCs/>
              <w:color w:val="000000" w:themeColor="text1"/>
              <w:szCs w:val="24"/>
              <w:lang w:val="zh-CN"/>
              <w14:textFill>
                <w14:solidFill>
                  <w14:schemeClr w14:val="tx1"/>
                </w14:solidFill>
              </w14:textFill>
            </w:rPr>
            <w:fldChar w:fldCharType="end"/>
          </w:r>
        </w:p>
        <w:p w14:paraId="299A018C">
          <w:pPr>
            <w:widowControl/>
            <w:spacing w:line="360" w:lineRule="auto"/>
            <w:jc w:val="left"/>
            <w:rPr>
              <w:b/>
              <w:bCs/>
              <w:color w:val="000000" w:themeColor="text1"/>
              <w:lang w:val="zh-CN"/>
              <w14:textFill>
                <w14:solidFill>
                  <w14:schemeClr w14:val="tx1"/>
                </w14:solidFill>
              </w14:textFill>
            </w:rPr>
          </w:pPr>
          <w:r>
            <w:rPr>
              <w:bCs/>
              <w:color w:val="000000" w:themeColor="text1"/>
              <w:szCs w:val="24"/>
              <w:lang w:val="zh-CN"/>
              <w14:textFill>
                <w14:solidFill>
                  <w14:schemeClr w14:val="tx1"/>
                </w14:solidFill>
              </w14:textFill>
            </w:rPr>
            <w:fldChar w:fldCharType="end"/>
          </w:r>
        </w:p>
      </w:sdtContent>
    </w:sdt>
    <w:p w14:paraId="3550B42F">
      <w:pPr>
        <w:pStyle w:val="2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13" w:name="_GoBack"/>
      <w:bookmarkEnd w:id="13"/>
    </w:p>
    <w:p w14:paraId="321E08F9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675091FD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7D1105B4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3D430BA3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6C5AD66D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4A17C7B0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18E14F17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5F6C16A5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18E8049F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1E2B1CE7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3A31584C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4CA43717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786BC171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50A284D5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0ED73288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4226A9EE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085A446A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2FA1BFF7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1D09F559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7D46F9C4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25A3D8CC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7E4D6478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2D005D99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2B4DAF6F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53AD5491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00EB0335">
      <w:pPr>
        <w:pStyle w:val="2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  <w:sectPr>
          <w:footerReference r:id="rId4" w:type="default"/>
          <w:pgSz w:w="11906" w:h="16838"/>
          <w:pgMar w:top="1440" w:right="1800" w:bottom="1440" w:left="1800" w:header="851" w:footer="992" w:gutter="0"/>
          <w:pgNumType w:fmt="numberInDash" w:start="1"/>
          <w:cols w:space="425" w:num="1"/>
          <w:docGrid w:type="lines" w:linePitch="312" w:charSpace="0"/>
        </w:sectPr>
      </w:pPr>
    </w:p>
    <w:p w14:paraId="6CB0D20D">
      <w:pPr>
        <w:pStyle w:val="2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2" w:name="_Toc10406"/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实验</w:t>
      </w:r>
      <w:bookmarkEnd w:id="0"/>
      <w:bookmarkEnd w:id="1"/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1、用电流表和电压表测电阻</w:t>
      </w:r>
      <w:bookmarkEnd w:id="2"/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701"/>
        <w:gridCol w:w="4678"/>
        <w:gridCol w:w="1213"/>
      </w:tblGrid>
      <w:tr w14:paraId="0AC2C9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704" w:type="dxa"/>
            <w:shd w:val="clear" w:color="auto" w:fill="CFCECE" w:themeFill="background2" w:themeFillShade="E5"/>
            <w:vAlign w:val="center"/>
          </w:tcPr>
          <w:p w14:paraId="7E8AECC3">
            <w:pPr>
              <w:spacing w:line="360" w:lineRule="auto"/>
              <w:jc w:val="center"/>
              <w:rPr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701" w:type="dxa"/>
            <w:shd w:val="clear" w:color="auto" w:fill="CFCECE" w:themeFill="background2" w:themeFillShade="E5"/>
            <w:vAlign w:val="center"/>
          </w:tcPr>
          <w:p w14:paraId="2E1EA945">
            <w:pPr>
              <w:spacing w:line="360" w:lineRule="auto"/>
              <w:jc w:val="center"/>
              <w:rPr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操作项</w:t>
            </w:r>
          </w:p>
        </w:tc>
        <w:tc>
          <w:tcPr>
            <w:tcW w:w="4678" w:type="dxa"/>
            <w:shd w:val="clear" w:color="auto" w:fill="CFCECE" w:themeFill="background2" w:themeFillShade="E5"/>
            <w:vAlign w:val="center"/>
          </w:tcPr>
          <w:p w14:paraId="5E9F82D5">
            <w:pPr>
              <w:spacing w:line="360" w:lineRule="auto"/>
              <w:jc w:val="center"/>
              <w:rPr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评分要点</w:t>
            </w:r>
          </w:p>
        </w:tc>
        <w:tc>
          <w:tcPr>
            <w:tcW w:w="1213" w:type="dxa"/>
            <w:shd w:val="clear" w:color="auto" w:fill="CFCECE" w:themeFill="background2" w:themeFillShade="E5"/>
            <w:vAlign w:val="center"/>
          </w:tcPr>
          <w:p w14:paraId="0F1395B3">
            <w:pPr>
              <w:spacing w:line="360" w:lineRule="auto"/>
              <w:jc w:val="center"/>
              <w:rPr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所占权重</w:t>
            </w:r>
          </w:p>
        </w:tc>
      </w:tr>
      <w:tr w14:paraId="259E45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Merge w:val="restart"/>
            <w:vAlign w:val="center"/>
          </w:tcPr>
          <w:p w14:paraId="17F6FE0D">
            <w:pPr>
              <w:spacing w:line="360" w:lineRule="auto"/>
              <w:jc w:val="center"/>
              <w:rPr>
                <w:rFonts w:eastAsia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701" w:type="dxa"/>
            <w:vMerge w:val="restart"/>
            <w:vAlign w:val="center"/>
          </w:tcPr>
          <w:p w14:paraId="471A394D">
            <w:pPr>
              <w:spacing w:line="360" w:lineRule="auto"/>
              <w:jc w:val="center"/>
              <w:rPr>
                <w:rFonts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按图连接电路（40%）</w:t>
            </w:r>
          </w:p>
        </w:tc>
        <w:tc>
          <w:tcPr>
            <w:tcW w:w="4678" w:type="dxa"/>
            <w:vAlign w:val="center"/>
          </w:tcPr>
          <w:p w14:paraId="7AC7C3F2">
            <w:pPr>
              <w:spacing w:line="360" w:lineRule="auto"/>
              <w:jc w:val="left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电流表调零</w:t>
            </w:r>
          </w:p>
        </w:tc>
        <w:tc>
          <w:tcPr>
            <w:tcW w:w="1213" w:type="dxa"/>
            <w:vAlign w:val="center"/>
          </w:tcPr>
          <w:p w14:paraId="374DA454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</w:tr>
      <w:tr w14:paraId="4C191B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Merge w:val="continue"/>
            <w:vAlign w:val="center"/>
          </w:tcPr>
          <w:p w14:paraId="3954B59A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5069498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678" w:type="dxa"/>
            <w:vAlign w:val="center"/>
          </w:tcPr>
          <w:p w14:paraId="3986DE4A">
            <w:pPr>
              <w:spacing w:line="360" w:lineRule="auto"/>
              <w:jc w:val="left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电压表调零</w:t>
            </w:r>
          </w:p>
        </w:tc>
        <w:tc>
          <w:tcPr>
            <w:tcW w:w="1213" w:type="dxa"/>
            <w:vAlign w:val="center"/>
          </w:tcPr>
          <w:p w14:paraId="542DF646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</w:tr>
      <w:tr w14:paraId="3E4953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Merge w:val="continue"/>
            <w:vAlign w:val="center"/>
          </w:tcPr>
          <w:p w14:paraId="11F80621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4330EA97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678" w:type="dxa"/>
            <w:vAlign w:val="center"/>
          </w:tcPr>
          <w:p w14:paraId="4F64AF27">
            <w:pPr>
              <w:spacing w:line="360" w:lineRule="auto"/>
              <w:jc w:val="left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断开开关，按图正确连接电路</w:t>
            </w:r>
          </w:p>
        </w:tc>
        <w:tc>
          <w:tcPr>
            <w:tcW w:w="1213" w:type="dxa"/>
            <w:vAlign w:val="center"/>
          </w:tcPr>
          <w:p w14:paraId="455A1B27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 w14:paraId="7DE15C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Merge w:val="continue"/>
            <w:vAlign w:val="center"/>
          </w:tcPr>
          <w:p w14:paraId="281E007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BBA59D8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678" w:type="dxa"/>
            <w:vAlign w:val="center"/>
          </w:tcPr>
          <w:p w14:paraId="474774F9">
            <w:pPr>
              <w:spacing w:line="360" w:lineRule="auto"/>
              <w:jc w:val="left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4.</w:t>
            </w: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正确将电流表串联在电路中</w:t>
            </w:r>
          </w:p>
        </w:tc>
        <w:tc>
          <w:tcPr>
            <w:tcW w:w="1213" w:type="dxa"/>
            <w:vAlign w:val="center"/>
          </w:tcPr>
          <w:p w14:paraId="68653198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</w:tr>
      <w:tr w14:paraId="28BFEC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Merge w:val="continue"/>
            <w:vAlign w:val="center"/>
          </w:tcPr>
          <w:p w14:paraId="4C50ABA0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43D95D40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678" w:type="dxa"/>
            <w:vAlign w:val="center"/>
          </w:tcPr>
          <w:p w14:paraId="01F02DED">
            <w:pPr>
              <w:spacing w:line="360" w:lineRule="auto"/>
              <w:jc w:val="left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5.</w:t>
            </w: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正确将电压表并联在定值电阻两端</w:t>
            </w:r>
          </w:p>
        </w:tc>
        <w:tc>
          <w:tcPr>
            <w:tcW w:w="1213" w:type="dxa"/>
            <w:vAlign w:val="center"/>
          </w:tcPr>
          <w:p w14:paraId="6B7EB2D7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</w:tr>
      <w:tr w14:paraId="469663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Merge w:val="continue"/>
            <w:vAlign w:val="center"/>
          </w:tcPr>
          <w:p w14:paraId="1E301DA5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10210E2B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678" w:type="dxa"/>
            <w:vAlign w:val="center"/>
          </w:tcPr>
          <w:p w14:paraId="40E7D713">
            <w:pPr>
              <w:spacing w:line="360" w:lineRule="auto"/>
              <w:jc w:val="left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6.</w:t>
            </w: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正确连接滑动变阻器</w:t>
            </w:r>
          </w:p>
        </w:tc>
        <w:tc>
          <w:tcPr>
            <w:tcW w:w="1213" w:type="dxa"/>
            <w:vAlign w:val="center"/>
          </w:tcPr>
          <w:p w14:paraId="6688EB7C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</w:tr>
      <w:tr w14:paraId="57AE59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Merge w:val="continue"/>
            <w:vAlign w:val="center"/>
          </w:tcPr>
          <w:p w14:paraId="2FFDC74B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5E72B369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678" w:type="dxa"/>
            <w:vAlign w:val="center"/>
          </w:tcPr>
          <w:p w14:paraId="4B0D175C">
            <w:pPr>
              <w:spacing w:line="360" w:lineRule="auto"/>
              <w:jc w:val="left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7.</w:t>
            </w: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将滑动变阻器调至最大阻值</w:t>
            </w:r>
          </w:p>
        </w:tc>
        <w:tc>
          <w:tcPr>
            <w:tcW w:w="1213" w:type="dxa"/>
            <w:vAlign w:val="center"/>
          </w:tcPr>
          <w:p w14:paraId="20AABB12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</w:tr>
      <w:tr w14:paraId="427DCC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7" w:hRule="atLeast"/>
          <w:jc w:val="center"/>
        </w:trPr>
        <w:tc>
          <w:tcPr>
            <w:tcW w:w="704" w:type="dxa"/>
            <w:vMerge w:val="restart"/>
            <w:vAlign w:val="center"/>
          </w:tcPr>
          <w:p w14:paraId="595C4C43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701" w:type="dxa"/>
            <w:vMerge w:val="restart"/>
            <w:vAlign w:val="center"/>
          </w:tcPr>
          <w:p w14:paraId="10CE6022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测量电流与电压（30%）</w:t>
            </w:r>
          </w:p>
        </w:tc>
        <w:tc>
          <w:tcPr>
            <w:tcW w:w="4678" w:type="dxa"/>
            <w:vAlign w:val="center"/>
          </w:tcPr>
          <w:p w14:paraId="2417F24B">
            <w:pPr>
              <w:spacing w:line="360" w:lineRule="auto"/>
              <w:jc w:val="left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闭合开关，测出电流和电压并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bidi="zh-CN"/>
                <w14:textFill>
                  <w14:solidFill>
                    <w14:schemeClr w14:val="tx1"/>
                  </w14:solidFill>
                </w14:textFill>
              </w:rPr>
              <w:t xml:space="preserve">填写到表格 </w:t>
            </w:r>
          </w:p>
        </w:tc>
        <w:tc>
          <w:tcPr>
            <w:tcW w:w="1213" w:type="dxa"/>
            <w:vAlign w:val="center"/>
          </w:tcPr>
          <w:p w14:paraId="264EA34B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</w:tr>
      <w:tr w14:paraId="4E7380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Merge w:val="continue"/>
            <w:vAlign w:val="center"/>
          </w:tcPr>
          <w:p w14:paraId="26BCFFA9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4FCD8454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678" w:type="dxa"/>
            <w:vAlign w:val="center"/>
          </w:tcPr>
          <w:p w14:paraId="2BDFE784">
            <w:pPr>
              <w:spacing w:line="360" w:lineRule="auto"/>
              <w:jc w:val="left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调节滑动变阻器，测出电流和电压并填写到表格</w:t>
            </w:r>
          </w:p>
        </w:tc>
        <w:tc>
          <w:tcPr>
            <w:tcW w:w="1213" w:type="dxa"/>
            <w:vAlign w:val="center"/>
          </w:tcPr>
          <w:p w14:paraId="3F0525CB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</w:tr>
      <w:tr w14:paraId="056376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Merge w:val="continue"/>
            <w:vAlign w:val="center"/>
          </w:tcPr>
          <w:p w14:paraId="387858BC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E025689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678" w:type="dxa"/>
            <w:vAlign w:val="center"/>
          </w:tcPr>
          <w:p w14:paraId="357E4F33">
            <w:pPr>
              <w:spacing w:line="360" w:lineRule="auto"/>
              <w:jc w:val="left"/>
              <w:rPr>
                <w:rFonts w:cs="仿宋" w:eastAsiaTheme="minorHAnsi"/>
                <w:color w:val="000000" w:themeColor="text1"/>
                <w:sz w:val="24"/>
                <w:lang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仿宋"/>
                <w:color w:val="000000" w:themeColor="text1"/>
                <w:sz w:val="24"/>
                <w:lang w:bidi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再次调节滑动变阻器，测出电流和电压并填写到表格</w:t>
            </w:r>
          </w:p>
        </w:tc>
        <w:tc>
          <w:tcPr>
            <w:tcW w:w="1213" w:type="dxa"/>
            <w:vAlign w:val="center"/>
          </w:tcPr>
          <w:p w14:paraId="65AC5A22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</w:tr>
      <w:tr w14:paraId="589EF2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5" w:hRule="atLeast"/>
          <w:jc w:val="center"/>
        </w:trPr>
        <w:tc>
          <w:tcPr>
            <w:tcW w:w="704" w:type="dxa"/>
            <w:vAlign w:val="center"/>
          </w:tcPr>
          <w:p w14:paraId="20441E66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701" w:type="dxa"/>
            <w:vAlign w:val="center"/>
          </w:tcPr>
          <w:p w14:paraId="2B0BCA2E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数据处理</w:t>
            </w: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（20%）</w:t>
            </w:r>
          </w:p>
        </w:tc>
        <w:tc>
          <w:tcPr>
            <w:tcW w:w="4678" w:type="dxa"/>
            <w:vAlign w:val="center"/>
          </w:tcPr>
          <w:p w14:paraId="58ADE88E">
            <w:pPr>
              <w:spacing w:line="360" w:lineRule="auto"/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仿宋"/>
                <w:color w:val="000000" w:themeColor="text1"/>
                <w:sz w:val="24"/>
                <w:lang w:bidi="zh-CN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cs="仿宋"/>
                <w:color w:val="000000" w:themeColor="text1"/>
                <w:sz w:val="24"/>
                <w:lang w:bidi="zh-CN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bidi="zh-CN"/>
                <w14:textFill>
                  <w14:solidFill>
                    <w14:schemeClr w14:val="tx1"/>
                  </w14:solidFill>
                </w14:textFill>
              </w:rPr>
              <w:t>正确计算三次电阻值，最后计算平均电阻</w:t>
            </w:r>
          </w:p>
        </w:tc>
        <w:tc>
          <w:tcPr>
            <w:tcW w:w="1213" w:type="dxa"/>
            <w:vAlign w:val="center"/>
          </w:tcPr>
          <w:p w14:paraId="77E28995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</w:tr>
      <w:tr w14:paraId="5BA3E0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Merge w:val="restart"/>
            <w:vAlign w:val="center"/>
          </w:tcPr>
          <w:p w14:paraId="7DA1F847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701" w:type="dxa"/>
            <w:vMerge w:val="restart"/>
            <w:vAlign w:val="center"/>
          </w:tcPr>
          <w:p w14:paraId="28112E80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实验</w:t>
            </w: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收尾</w:t>
            </w: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0%）</w:t>
            </w:r>
          </w:p>
        </w:tc>
        <w:tc>
          <w:tcPr>
            <w:tcW w:w="4678" w:type="dxa"/>
            <w:vAlign w:val="center"/>
          </w:tcPr>
          <w:p w14:paraId="28F95BCA">
            <w:pPr>
              <w:spacing w:line="360" w:lineRule="auto"/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断开开关 </w:t>
            </w:r>
          </w:p>
        </w:tc>
        <w:tc>
          <w:tcPr>
            <w:tcW w:w="1213" w:type="dxa"/>
            <w:vAlign w:val="center"/>
          </w:tcPr>
          <w:p w14:paraId="3F45332A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</w:tr>
      <w:tr w14:paraId="458CEF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Merge w:val="continue"/>
            <w:vAlign w:val="center"/>
          </w:tcPr>
          <w:p w14:paraId="0ECB60FA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720F2980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678" w:type="dxa"/>
            <w:vAlign w:val="center"/>
          </w:tcPr>
          <w:p w14:paraId="24889AEB">
            <w:pPr>
              <w:spacing w:line="360" w:lineRule="auto"/>
              <w:jc w:val="left"/>
              <w:rPr>
                <w:rFonts w:cs="仿宋"/>
                <w:color w:val="000000" w:themeColor="text1"/>
                <w:sz w:val="24"/>
                <w:lang w:bidi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整理仪器</w:t>
            </w:r>
          </w:p>
        </w:tc>
        <w:tc>
          <w:tcPr>
            <w:tcW w:w="1213" w:type="dxa"/>
            <w:vAlign w:val="center"/>
          </w:tcPr>
          <w:p w14:paraId="73AAE322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</w:tr>
    </w:tbl>
    <w:p w14:paraId="40114D31"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br w:type="page"/>
      </w:r>
    </w:p>
    <w:p w14:paraId="519BD268">
      <w:pPr>
        <w:pStyle w:val="2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3" w:name="_Toc9162"/>
      <w:bookmarkStart w:id="4" w:name="_Toc31119"/>
      <w:bookmarkStart w:id="5" w:name="_Toc124439140"/>
      <w:bookmarkStart w:id="6" w:name="_Toc25882"/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实验2、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探究杠杆的平衡条件</w:t>
      </w:r>
      <w:bookmarkEnd w:id="3"/>
      <w:bookmarkEnd w:id="4"/>
      <w:bookmarkEnd w:id="5"/>
      <w:bookmarkEnd w:id="6"/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418"/>
        <w:gridCol w:w="4961"/>
        <w:gridCol w:w="1213"/>
      </w:tblGrid>
      <w:tr w14:paraId="75BB70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shd w:val="clear" w:color="auto" w:fill="CFCECE" w:themeFill="background2" w:themeFillShade="E5"/>
            <w:vAlign w:val="center"/>
          </w:tcPr>
          <w:p w14:paraId="1F57CCCC">
            <w:pPr>
              <w:spacing w:line="360" w:lineRule="auto"/>
              <w:jc w:val="center"/>
              <w:rPr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418" w:type="dxa"/>
            <w:shd w:val="clear" w:color="auto" w:fill="CFCECE" w:themeFill="background2" w:themeFillShade="E5"/>
            <w:vAlign w:val="center"/>
          </w:tcPr>
          <w:p w14:paraId="02455A5D">
            <w:pPr>
              <w:spacing w:line="360" w:lineRule="auto"/>
              <w:jc w:val="center"/>
              <w:rPr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操作项</w:t>
            </w:r>
          </w:p>
        </w:tc>
        <w:tc>
          <w:tcPr>
            <w:tcW w:w="4961" w:type="dxa"/>
            <w:shd w:val="clear" w:color="auto" w:fill="CFCECE" w:themeFill="background2" w:themeFillShade="E5"/>
            <w:vAlign w:val="center"/>
          </w:tcPr>
          <w:p w14:paraId="48F80B72">
            <w:pPr>
              <w:spacing w:line="360" w:lineRule="auto"/>
              <w:jc w:val="center"/>
              <w:rPr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评分要点</w:t>
            </w:r>
          </w:p>
        </w:tc>
        <w:tc>
          <w:tcPr>
            <w:tcW w:w="1213" w:type="dxa"/>
            <w:shd w:val="clear" w:color="auto" w:fill="CFCECE" w:themeFill="background2" w:themeFillShade="E5"/>
            <w:vAlign w:val="center"/>
          </w:tcPr>
          <w:p w14:paraId="76DAB2F7">
            <w:pPr>
              <w:spacing w:line="360" w:lineRule="auto"/>
              <w:jc w:val="center"/>
              <w:rPr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所占权重</w:t>
            </w:r>
          </w:p>
        </w:tc>
      </w:tr>
      <w:tr w14:paraId="49A6CD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Align w:val="center"/>
          </w:tcPr>
          <w:p w14:paraId="70CB1E8C">
            <w:pPr>
              <w:spacing w:line="360" w:lineRule="auto"/>
              <w:jc w:val="center"/>
              <w:rPr>
                <w:rFonts w:eastAsia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418" w:type="dxa"/>
            <w:vAlign w:val="center"/>
          </w:tcPr>
          <w:p w14:paraId="2A0A0276">
            <w:pPr>
              <w:spacing w:line="360" w:lineRule="auto"/>
              <w:jc w:val="center"/>
              <w:rPr>
                <w:rFonts w:eastAsia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调节</w:t>
            </w:r>
            <w:r>
              <w:rPr>
                <w:rFonts w:hint="eastAsia" w:eastAsia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杠杆平衡（</w:t>
            </w: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0%</w:t>
            </w:r>
            <w:r>
              <w:rPr>
                <w:rFonts w:hint="eastAsia" w:eastAsia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4961" w:type="dxa"/>
            <w:vAlign w:val="center"/>
          </w:tcPr>
          <w:p w14:paraId="1E0213B6">
            <w:pPr>
              <w:pStyle w:val="16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eastAsia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实验前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调节杠杆平衡</w:t>
            </w:r>
          </w:p>
        </w:tc>
        <w:tc>
          <w:tcPr>
            <w:tcW w:w="1213" w:type="dxa"/>
            <w:vAlign w:val="center"/>
          </w:tcPr>
          <w:p w14:paraId="19540C70">
            <w:pPr>
              <w:spacing w:line="360" w:lineRule="auto"/>
              <w:jc w:val="center"/>
              <w:rPr>
                <w:rFonts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</w:tr>
      <w:tr w14:paraId="1B313F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Merge w:val="restart"/>
            <w:vAlign w:val="center"/>
          </w:tcPr>
          <w:p w14:paraId="2A2D7CC1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418" w:type="dxa"/>
            <w:vMerge w:val="restart"/>
            <w:vAlign w:val="center"/>
          </w:tcPr>
          <w:p w14:paraId="55D47436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实验操作（</w:t>
            </w: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48%</w:t>
            </w: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4961" w:type="dxa"/>
            <w:vAlign w:val="center"/>
          </w:tcPr>
          <w:p w14:paraId="3F41EC44">
            <w:pPr>
              <w:pStyle w:val="16"/>
              <w:numPr>
                <w:ilvl w:val="0"/>
                <w:numId w:val="2"/>
              </w:numPr>
              <w:spacing w:line="360" w:lineRule="auto"/>
              <w:ind w:firstLineChars="0"/>
              <w:jc w:val="left"/>
              <w:rPr>
                <w:rFonts w:eastAsia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杠杆两边挂上不同数量钩码，调节钩码的位置使杠杆平衡，记录动力、动力臂、阻力、阻力臂</w:t>
            </w:r>
          </w:p>
        </w:tc>
        <w:tc>
          <w:tcPr>
            <w:tcW w:w="1213" w:type="dxa"/>
            <w:vAlign w:val="center"/>
          </w:tcPr>
          <w:p w14:paraId="189C34D5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</w:tr>
      <w:tr w14:paraId="2380BE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Merge w:val="continue"/>
            <w:vAlign w:val="center"/>
          </w:tcPr>
          <w:p w14:paraId="3B13B50E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8" w:type="dxa"/>
            <w:vMerge w:val="continue"/>
            <w:vAlign w:val="center"/>
          </w:tcPr>
          <w:p w14:paraId="61C21D5F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961" w:type="dxa"/>
            <w:vAlign w:val="center"/>
          </w:tcPr>
          <w:p w14:paraId="44BAD096">
            <w:pPr>
              <w:pStyle w:val="16"/>
              <w:numPr>
                <w:ilvl w:val="0"/>
                <w:numId w:val="2"/>
              </w:numPr>
              <w:spacing w:line="360" w:lineRule="auto"/>
              <w:ind w:firstLineChars="0"/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改变动力臂、阻力臂或改变两边的钩码数量重复上述操作两次。</w:t>
            </w:r>
          </w:p>
        </w:tc>
        <w:tc>
          <w:tcPr>
            <w:tcW w:w="1213" w:type="dxa"/>
            <w:vAlign w:val="center"/>
          </w:tcPr>
          <w:p w14:paraId="5E594D1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32</w:t>
            </w:r>
          </w:p>
        </w:tc>
      </w:tr>
      <w:tr w14:paraId="5DD873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Merge w:val="restart"/>
            <w:vAlign w:val="center"/>
          </w:tcPr>
          <w:p w14:paraId="18A76BF5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418" w:type="dxa"/>
            <w:vMerge w:val="restart"/>
            <w:vAlign w:val="center"/>
          </w:tcPr>
          <w:p w14:paraId="3F633FD7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数据处理及结论（</w:t>
            </w: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32%</w:t>
            </w: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4961" w:type="dxa"/>
            <w:vAlign w:val="center"/>
          </w:tcPr>
          <w:p w14:paraId="7F305399">
            <w:pPr>
              <w:pStyle w:val="16"/>
              <w:spacing w:line="360" w:lineRule="auto"/>
              <w:ind w:firstLine="0" w:firstLineChars="0"/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计算动力乘以动力臂，阻力乘以阻力臂</w:t>
            </w:r>
          </w:p>
        </w:tc>
        <w:tc>
          <w:tcPr>
            <w:tcW w:w="1213" w:type="dxa"/>
            <w:vAlign w:val="center"/>
          </w:tcPr>
          <w:p w14:paraId="3C814DDF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</w:tr>
      <w:tr w14:paraId="37F34E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Merge w:val="continue"/>
            <w:vAlign w:val="center"/>
          </w:tcPr>
          <w:p w14:paraId="3A89148B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8" w:type="dxa"/>
            <w:vMerge w:val="continue"/>
            <w:vAlign w:val="center"/>
          </w:tcPr>
          <w:p w14:paraId="006156F5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961" w:type="dxa"/>
            <w:vAlign w:val="center"/>
          </w:tcPr>
          <w:p w14:paraId="05E30F5F">
            <w:pPr>
              <w:pStyle w:val="16"/>
              <w:spacing w:line="360" w:lineRule="auto"/>
              <w:ind w:firstLine="0" w:firstLineChars="0"/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得出结论</w:t>
            </w:r>
          </w:p>
        </w:tc>
        <w:tc>
          <w:tcPr>
            <w:tcW w:w="1213" w:type="dxa"/>
            <w:vAlign w:val="center"/>
          </w:tcPr>
          <w:p w14:paraId="10D0D790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</w:tr>
      <w:tr w14:paraId="6F553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Align w:val="center"/>
          </w:tcPr>
          <w:p w14:paraId="26726559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418" w:type="dxa"/>
            <w:vAlign w:val="center"/>
          </w:tcPr>
          <w:p w14:paraId="4E26926E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实验收尾（</w:t>
            </w: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10%</w:t>
            </w: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4961" w:type="dxa"/>
            <w:vAlign w:val="center"/>
          </w:tcPr>
          <w:p w14:paraId="1442E6CC">
            <w:pPr>
              <w:pStyle w:val="16"/>
              <w:spacing w:line="360" w:lineRule="auto"/>
              <w:ind w:firstLine="0" w:firstLineChars="0"/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pacing w:val="-7"/>
                <w:sz w:val="24"/>
                <w14:textFill>
                  <w14:solidFill>
                    <w14:schemeClr w14:val="tx1"/>
                  </w14:solidFill>
                </w14:textFill>
              </w:rPr>
              <w:t>整理器材</w:t>
            </w:r>
          </w:p>
        </w:tc>
        <w:tc>
          <w:tcPr>
            <w:tcW w:w="1213" w:type="dxa"/>
            <w:vAlign w:val="center"/>
          </w:tcPr>
          <w:p w14:paraId="0C4A6AF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</w:tr>
    </w:tbl>
    <w:p w14:paraId="58451389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54128EC9">
      <w:pPr>
        <w:widowControl/>
        <w:jc w:val="left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br w:type="page"/>
      </w:r>
    </w:p>
    <w:p w14:paraId="2025E07C">
      <w:pPr>
        <w:pStyle w:val="2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7" w:name="_Toc7810"/>
      <w:bookmarkStart w:id="8" w:name="_Toc124439141"/>
      <w:bookmarkStart w:id="9" w:name="_Toc2552"/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实验3、探究平面镜成像的特点</w:t>
      </w:r>
      <w:bookmarkEnd w:id="7"/>
      <w:bookmarkEnd w:id="8"/>
      <w:bookmarkEnd w:id="9"/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418"/>
        <w:gridCol w:w="4961"/>
        <w:gridCol w:w="1213"/>
      </w:tblGrid>
      <w:tr w14:paraId="36C56D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shd w:val="clear" w:color="auto" w:fill="CFCECE" w:themeFill="background2" w:themeFillShade="E5"/>
            <w:vAlign w:val="center"/>
          </w:tcPr>
          <w:p w14:paraId="3337A50E">
            <w:pPr>
              <w:spacing w:line="360" w:lineRule="auto"/>
              <w:jc w:val="center"/>
              <w:rPr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418" w:type="dxa"/>
            <w:shd w:val="clear" w:color="auto" w:fill="CFCECE" w:themeFill="background2" w:themeFillShade="E5"/>
            <w:vAlign w:val="center"/>
          </w:tcPr>
          <w:p w14:paraId="14A44403">
            <w:pPr>
              <w:spacing w:line="360" w:lineRule="auto"/>
              <w:jc w:val="center"/>
              <w:rPr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操作项</w:t>
            </w:r>
          </w:p>
        </w:tc>
        <w:tc>
          <w:tcPr>
            <w:tcW w:w="4961" w:type="dxa"/>
            <w:shd w:val="clear" w:color="auto" w:fill="CFCECE" w:themeFill="background2" w:themeFillShade="E5"/>
            <w:vAlign w:val="center"/>
          </w:tcPr>
          <w:p w14:paraId="3A332D49">
            <w:pPr>
              <w:spacing w:line="360" w:lineRule="auto"/>
              <w:jc w:val="center"/>
              <w:rPr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评分要点</w:t>
            </w:r>
          </w:p>
        </w:tc>
        <w:tc>
          <w:tcPr>
            <w:tcW w:w="1213" w:type="dxa"/>
            <w:shd w:val="clear" w:color="auto" w:fill="CFCECE" w:themeFill="background2" w:themeFillShade="E5"/>
            <w:vAlign w:val="center"/>
          </w:tcPr>
          <w:p w14:paraId="24CB155E">
            <w:pPr>
              <w:spacing w:line="360" w:lineRule="auto"/>
              <w:jc w:val="center"/>
              <w:rPr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所占权重</w:t>
            </w:r>
          </w:p>
        </w:tc>
      </w:tr>
      <w:tr w14:paraId="1628D2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Merge w:val="restart"/>
            <w:vAlign w:val="center"/>
          </w:tcPr>
          <w:p w14:paraId="2FA5B42A">
            <w:pPr>
              <w:spacing w:line="360" w:lineRule="auto"/>
              <w:jc w:val="center"/>
              <w:rPr>
                <w:rFonts w:eastAsia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675750BF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实验准备</w:t>
            </w:r>
          </w:p>
          <w:p w14:paraId="03391403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％</w:t>
            </w:r>
          </w:p>
        </w:tc>
        <w:tc>
          <w:tcPr>
            <w:tcW w:w="4961" w:type="dxa"/>
            <w:shd w:val="clear" w:color="auto" w:fill="auto"/>
          </w:tcPr>
          <w:p w14:paraId="760DC08C">
            <w:pPr>
              <w:pStyle w:val="16"/>
              <w:numPr>
                <w:ilvl w:val="0"/>
                <w:numId w:val="3"/>
              </w:numPr>
              <w:spacing w:line="360" w:lineRule="auto"/>
              <w:ind w:firstLineChars="0"/>
              <w:jc w:val="left"/>
              <w:rPr>
                <w:rFonts w:eastAsia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在水平桌面上铺上白纸；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74E37F14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 w14:paraId="533542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Merge w:val="continue"/>
            <w:vAlign w:val="center"/>
          </w:tcPr>
          <w:p w14:paraId="5E0B05CE">
            <w:pPr>
              <w:spacing w:line="360" w:lineRule="auto"/>
              <w:jc w:val="center"/>
              <w:rPr>
                <w:rFonts w:eastAsia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8" w:type="dxa"/>
            <w:vMerge w:val="continue"/>
            <w:shd w:val="clear" w:color="auto" w:fill="auto"/>
            <w:vAlign w:val="center"/>
          </w:tcPr>
          <w:p w14:paraId="5785DBA1">
            <w:pPr>
              <w:spacing w:line="360" w:lineRule="auto"/>
              <w:jc w:val="center"/>
              <w:rPr>
                <w:rFonts w:eastAsia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961" w:type="dxa"/>
            <w:shd w:val="clear" w:color="auto" w:fill="auto"/>
          </w:tcPr>
          <w:p w14:paraId="5F49DA1B">
            <w:pPr>
              <w:pStyle w:val="16"/>
              <w:numPr>
                <w:ilvl w:val="0"/>
                <w:numId w:val="3"/>
              </w:numPr>
              <w:spacing w:line="360" w:lineRule="auto"/>
              <w:ind w:firstLineChars="0"/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纸上垂直竖立一块玻璃板作为平面镜；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14B5C789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 w14:paraId="0D8A9C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Merge w:val="restart"/>
            <w:vAlign w:val="center"/>
          </w:tcPr>
          <w:p w14:paraId="3497E07E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75A6E3C8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初次实验</w:t>
            </w:r>
          </w:p>
          <w:p w14:paraId="5E304A94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％</w:t>
            </w:r>
          </w:p>
        </w:tc>
        <w:tc>
          <w:tcPr>
            <w:tcW w:w="4961" w:type="dxa"/>
            <w:shd w:val="clear" w:color="auto" w:fill="auto"/>
          </w:tcPr>
          <w:p w14:paraId="5D99C08E">
            <w:pPr>
              <w:pStyle w:val="16"/>
              <w:numPr>
                <w:ilvl w:val="0"/>
                <w:numId w:val="4"/>
              </w:numPr>
              <w:spacing w:line="360" w:lineRule="auto"/>
              <w:ind w:firstLineChars="0"/>
              <w:jc w:val="left"/>
              <w:rPr>
                <w:rFonts w:eastAsia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点燃蜡烛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；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329774E1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 w14:paraId="0A5F16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Merge w:val="continue"/>
            <w:vAlign w:val="center"/>
          </w:tcPr>
          <w:p w14:paraId="104FCA9B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8" w:type="dxa"/>
            <w:vMerge w:val="continue"/>
            <w:shd w:val="clear" w:color="auto" w:fill="auto"/>
            <w:vAlign w:val="center"/>
          </w:tcPr>
          <w:p w14:paraId="5EBCA90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961" w:type="dxa"/>
            <w:shd w:val="clear" w:color="auto" w:fill="auto"/>
          </w:tcPr>
          <w:p w14:paraId="3AA371A4">
            <w:pPr>
              <w:pStyle w:val="16"/>
              <w:numPr>
                <w:ilvl w:val="0"/>
                <w:numId w:val="4"/>
              </w:numPr>
              <w:spacing w:line="360" w:lineRule="auto"/>
              <w:ind w:firstLineChars="0"/>
              <w:jc w:val="left"/>
              <w:rPr>
                <w:rFonts w:eastAsia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蜡烛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A放在玻璃板的前面</w:t>
            </w: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；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6CA0B1DF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 w14:paraId="32DB0F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Merge w:val="continue"/>
            <w:vAlign w:val="center"/>
          </w:tcPr>
          <w:p w14:paraId="08759B36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8" w:type="dxa"/>
            <w:vMerge w:val="continue"/>
            <w:shd w:val="clear" w:color="auto" w:fill="auto"/>
            <w:vAlign w:val="center"/>
          </w:tcPr>
          <w:p w14:paraId="2CA7935E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961" w:type="dxa"/>
            <w:shd w:val="clear" w:color="auto" w:fill="auto"/>
          </w:tcPr>
          <w:p w14:paraId="288D77D0">
            <w:pPr>
              <w:pStyle w:val="16"/>
              <w:numPr>
                <w:ilvl w:val="0"/>
                <w:numId w:val="4"/>
              </w:numPr>
              <w:spacing w:line="360" w:lineRule="auto"/>
              <w:ind w:firstLineChars="0"/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再拿一支同样大小但不点燃的蜡烛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竖立在玻璃板后面</w:t>
            </w: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；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7475909E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 w14:paraId="416B3C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Merge w:val="continue"/>
            <w:vAlign w:val="center"/>
          </w:tcPr>
          <w:p w14:paraId="7BA0B04E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8" w:type="dxa"/>
            <w:vMerge w:val="continue"/>
            <w:shd w:val="clear" w:color="auto" w:fill="auto"/>
            <w:vAlign w:val="center"/>
          </w:tcPr>
          <w:p w14:paraId="31F166C4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961" w:type="dxa"/>
            <w:shd w:val="clear" w:color="auto" w:fill="auto"/>
          </w:tcPr>
          <w:p w14:paraId="64085230">
            <w:pPr>
              <w:pStyle w:val="16"/>
              <w:numPr>
                <w:ilvl w:val="0"/>
                <w:numId w:val="4"/>
              </w:numPr>
              <w:spacing w:line="360" w:lineRule="auto"/>
              <w:ind w:firstLineChars="0"/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pacing w:val="-7"/>
                <w:sz w:val="24"/>
                <w14:textFill>
                  <w14:solidFill>
                    <w14:schemeClr w14:val="tx1"/>
                  </w14:solidFill>
                </w14:textFill>
              </w:rPr>
              <w:t>移动蜡烛</w:t>
            </w:r>
            <w:r>
              <w:rPr>
                <w:color w:val="000000" w:themeColor="text1"/>
                <w:spacing w:val="-7"/>
                <w:sz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/>
                <w:color w:val="000000" w:themeColor="text1"/>
                <w:spacing w:val="-7"/>
                <w:sz w:val="24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color w:val="000000" w:themeColor="text1"/>
                <w:spacing w:val="-7"/>
                <w:sz w:val="24"/>
                <w14:textFill>
                  <w14:solidFill>
                    <w14:schemeClr w14:val="tx1"/>
                  </w14:solidFill>
                </w14:textFill>
              </w:rPr>
              <w:t>直到看上去它跟蜡烛A的像重合</w:t>
            </w:r>
            <w:r>
              <w:rPr>
                <w:rFonts w:hint="eastAsia"/>
                <w:color w:val="000000" w:themeColor="text1"/>
                <w:spacing w:val="-7"/>
                <w:sz w:val="24"/>
                <w14:textFill>
                  <w14:solidFill>
                    <w14:schemeClr w14:val="tx1"/>
                  </w14:solidFill>
                </w14:textFill>
              </w:rPr>
              <w:t>；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4031D3A8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 w14:paraId="2531BD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Merge w:val="continue"/>
            <w:vAlign w:val="center"/>
          </w:tcPr>
          <w:p w14:paraId="15D769FC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8" w:type="dxa"/>
            <w:vMerge w:val="continue"/>
            <w:shd w:val="clear" w:color="auto" w:fill="auto"/>
            <w:vAlign w:val="center"/>
          </w:tcPr>
          <w:p w14:paraId="16481F5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961" w:type="dxa"/>
            <w:shd w:val="clear" w:color="auto" w:fill="auto"/>
          </w:tcPr>
          <w:p w14:paraId="452C4052">
            <w:pPr>
              <w:spacing w:line="360" w:lineRule="auto"/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在纸上记下蜡烛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和蜡烛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的位置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00FC0E7C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</w:tr>
      <w:tr w14:paraId="01FA69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Merge w:val="restart"/>
            <w:vAlign w:val="center"/>
          </w:tcPr>
          <w:p w14:paraId="1D166E10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39AB2E4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重复实验</w:t>
            </w:r>
          </w:p>
          <w:p w14:paraId="62BC0B8E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％</w:t>
            </w:r>
          </w:p>
        </w:tc>
        <w:tc>
          <w:tcPr>
            <w:tcW w:w="4961" w:type="dxa"/>
            <w:shd w:val="clear" w:color="auto" w:fill="auto"/>
          </w:tcPr>
          <w:p w14:paraId="7449408E">
            <w:pPr>
              <w:pStyle w:val="16"/>
              <w:numPr>
                <w:ilvl w:val="0"/>
                <w:numId w:val="5"/>
              </w:numPr>
              <w:spacing w:line="360" w:lineRule="auto"/>
              <w:ind w:firstLineChars="0"/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移动蜡烛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第一次重做实验</w:t>
            </w: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并在纸上记下蜡烛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和蜡烛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的位置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718FE46E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</w:tr>
      <w:tr w14:paraId="798BCD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Merge w:val="continue"/>
            <w:vAlign w:val="center"/>
          </w:tcPr>
          <w:p w14:paraId="47C3D9FF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8" w:type="dxa"/>
            <w:vMerge w:val="continue"/>
            <w:shd w:val="clear" w:color="auto" w:fill="auto"/>
            <w:vAlign w:val="center"/>
          </w:tcPr>
          <w:p w14:paraId="582E6808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961" w:type="dxa"/>
            <w:shd w:val="clear" w:color="auto" w:fill="auto"/>
          </w:tcPr>
          <w:p w14:paraId="0A08A365">
            <w:pPr>
              <w:pStyle w:val="16"/>
              <w:numPr>
                <w:ilvl w:val="0"/>
                <w:numId w:val="5"/>
              </w:numPr>
              <w:spacing w:line="360" w:lineRule="auto"/>
              <w:ind w:firstLineChars="0"/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移动蜡烛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第二次重做实验</w:t>
            </w: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，并在纸上记下蜡烛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和蜡烛</w:t>
            </w:r>
            <w: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的位置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6D47BA61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</w:tr>
      <w:tr w14:paraId="6974FA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Merge w:val="restart"/>
            <w:vAlign w:val="center"/>
          </w:tcPr>
          <w:p w14:paraId="5D27511B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2C8A28B2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数据处理及结论（</w:t>
            </w: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43%</w:t>
            </w: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4961" w:type="dxa"/>
            <w:shd w:val="clear" w:color="auto" w:fill="auto"/>
          </w:tcPr>
          <w:p w14:paraId="112A240B">
            <w:pPr>
              <w:pStyle w:val="16"/>
              <w:numPr>
                <w:ilvl w:val="0"/>
                <w:numId w:val="6"/>
              </w:numPr>
              <w:spacing w:line="360" w:lineRule="auto"/>
              <w:ind w:firstLineChars="0"/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用刻度尺测量物距、像距并正确填入表中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1724F2D2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</w:tr>
      <w:tr w14:paraId="6176D8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Merge w:val="continue"/>
            <w:vAlign w:val="center"/>
          </w:tcPr>
          <w:p w14:paraId="04F639B1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8" w:type="dxa"/>
            <w:vMerge w:val="continue"/>
            <w:shd w:val="clear" w:color="auto" w:fill="auto"/>
            <w:vAlign w:val="center"/>
          </w:tcPr>
          <w:p w14:paraId="3D714F4B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961" w:type="dxa"/>
            <w:shd w:val="clear" w:color="auto" w:fill="auto"/>
          </w:tcPr>
          <w:p w14:paraId="414DCA7D">
            <w:pPr>
              <w:pStyle w:val="16"/>
              <w:numPr>
                <w:ilvl w:val="0"/>
                <w:numId w:val="6"/>
              </w:numPr>
              <w:spacing w:line="360" w:lineRule="auto"/>
              <w:ind w:firstLineChars="0"/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观察结果正确填入表中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72F2C98E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</w:tr>
      <w:tr w14:paraId="3303AD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Merge w:val="continue"/>
            <w:vAlign w:val="center"/>
          </w:tcPr>
          <w:p w14:paraId="764D935A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8" w:type="dxa"/>
            <w:vMerge w:val="continue"/>
            <w:shd w:val="clear" w:color="auto" w:fill="auto"/>
            <w:vAlign w:val="center"/>
          </w:tcPr>
          <w:p w14:paraId="3D9CB423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961" w:type="dxa"/>
            <w:shd w:val="clear" w:color="auto" w:fill="auto"/>
          </w:tcPr>
          <w:p w14:paraId="24E22AEB">
            <w:pPr>
              <w:pStyle w:val="16"/>
              <w:numPr>
                <w:ilvl w:val="0"/>
                <w:numId w:val="6"/>
              </w:numPr>
              <w:spacing w:line="360" w:lineRule="auto"/>
              <w:ind w:firstLineChars="0"/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填写实验结论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76460DFF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</w:tr>
      <w:tr w14:paraId="54BF27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Align w:val="center"/>
          </w:tcPr>
          <w:p w14:paraId="48BB6795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C81A112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实验</w:t>
            </w: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收尾</w:t>
            </w: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（9</w:t>
            </w: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%</w:t>
            </w: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4961" w:type="dxa"/>
            <w:shd w:val="clear" w:color="auto" w:fill="auto"/>
          </w:tcPr>
          <w:p w14:paraId="7505135B">
            <w:pPr>
              <w:spacing w:line="360" w:lineRule="auto"/>
              <w:jc w:val="left"/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pacing w:val="-7"/>
                <w:sz w:val="24"/>
                <w14:textFill>
                  <w14:solidFill>
                    <w14:schemeClr w14:val="tx1"/>
                  </w14:solidFill>
                </w14:textFill>
              </w:rPr>
              <w:t>整理器材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1C3C51C2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</w:tr>
    </w:tbl>
    <w:p w14:paraId="5CDF1687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72A03D50">
      <w:pPr>
        <w:pStyle w:val="2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br w:type="page"/>
      </w:r>
      <w:bookmarkStart w:id="10" w:name="_Toc124439142"/>
      <w:bookmarkStart w:id="11" w:name="_Toc32364"/>
      <w:bookmarkStart w:id="12" w:name="_Toc6493"/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实验4、探究导体在磁场中运动时产生感应电流的条件</w:t>
      </w:r>
      <w:bookmarkEnd w:id="10"/>
      <w:bookmarkEnd w:id="11"/>
      <w:bookmarkEnd w:id="12"/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418"/>
        <w:gridCol w:w="4961"/>
        <w:gridCol w:w="1213"/>
      </w:tblGrid>
      <w:tr w14:paraId="3916F1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shd w:val="clear" w:color="auto" w:fill="CFCECE" w:themeFill="background2" w:themeFillShade="E5"/>
            <w:vAlign w:val="center"/>
          </w:tcPr>
          <w:p w14:paraId="1D5462C1">
            <w:pPr>
              <w:spacing w:line="360" w:lineRule="auto"/>
              <w:jc w:val="center"/>
              <w:rPr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418" w:type="dxa"/>
            <w:shd w:val="clear" w:color="auto" w:fill="CFCECE" w:themeFill="background2" w:themeFillShade="E5"/>
            <w:vAlign w:val="center"/>
          </w:tcPr>
          <w:p w14:paraId="20FB387C">
            <w:pPr>
              <w:spacing w:line="360" w:lineRule="auto"/>
              <w:jc w:val="center"/>
              <w:rPr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操作项</w:t>
            </w:r>
          </w:p>
        </w:tc>
        <w:tc>
          <w:tcPr>
            <w:tcW w:w="4961" w:type="dxa"/>
            <w:shd w:val="clear" w:color="auto" w:fill="CFCECE" w:themeFill="background2" w:themeFillShade="E5"/>
            <w:vAlign w:val="center"/>
          </w:tcPr>
          <w:p w14:paraId="204C0B85">
            <w:pPr>
              <w:spacing w:line="360" w:lineRule="auto"/>
              <w:jc w:val="center"/>
              <w:rPr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评分要点</w:t>
            </w:r>
          </w:p>
        </w:tc>
        <w:tc>
          <w:tcPr>
            <w:tcW w:w="1213" w:type="dxa"/>
            <w:shd w:val="clear" w:color="auto" w:fill="CFCECE" w:themeFill="background2" w:themeFillShade="E5"/>
            <w:vAlign w:val="center"/>
          </w:tcPr>
          <w:p w14:paraId="24FA1893">
            <w:pPr>
              <w:spacing w:line="360" w:lineRule="auto"/>
              <w:jc w:val="center"/>
              <w:rPr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b/>
                <w:bCs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所占权重</w:t>
            </w:r>
          </w:p>
        </w:tc>
      </w:tr>
      <w:tr w14:paraId="54C6D6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Merge w:val="restart"/>
            <w:vAlign w:val="center"/>
          </w:tcPr>
          <w:p w14:paraId="6FD15B63">
            <w:pPr>
              <w:spacing w:line="360" w:lineRule="auto"/>
              <w:jc w:val="center"/>
              <w:rPr>
                <w:rFonts w:eastAsia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418" w:type="dxa"/>
            <w:vMerge w:val="restart"/>
            <w:vAlign w:val="center"/>
          </w:tcPr>
          <w:p w14:paraId="22E1EE0F">
            <w:pPr>
              <w:spacing w:line="360" w:lineRule="auto"/>
              <w:jc w:val="center"/>
              <w:rPr>
                <w:rFonts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连接电路</w:t>
            </w:r>
          </w:p>
          <w:p w14:paraId="0614C07A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18</w:t>
            </w: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％</w:t>
            </w:r>
          </w:p>
        </w:tc>
        <w:tc>
          <w:tcPr>
            <w:tcW w:w="4961" w:type="dxa"/>
            <w:vAlign w:val="center"/>
          </w:tcPr>
          <w:p w14:paraId="34A7D651">
            <w:pPr>
              <w:pStyle w:val="16"/>
              <w:numPr>
                <w:ilvl w:val="0"/>
                <w:numId w:val="7"/>
              </w:numPr>
              <w:spacing w:line="360" w:lineRule="auto"/>
              <w:ind w:firstLineChars="0"/>
              <w:jc w:val="left"/>
              <w:rPr>
                <w:rFonts w:asciiTheme="majorEastAsia" w:hAnsiTheme="majorEastAsia" w:eastAsiaTheme="majorEastAsia" w:cstheme="maj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将蹄形磁体放置于铁架台上；</w:t>
            </w:r>
          </w:p>
        </w:tc>
        <w:tc>
          <w:tcPr>
            <w:tcW w:w="1213" w:type="dxa"/>
            <w:vAlign w:val="center"/>
          </w:tcPr>
          <w:p w14:paraId="74792F28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</w:tr>
      <w:tr w14:paraId="638E0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Merge w:val="continue"/>
            <w:vAlign w:val="center"/>
          </w:tcPr>
          <w:p w14:paraId="63512C0E">
            <w:pPr>
              <w:spacing w:line="360" w:lineRule="auto"/>
              <w:jc w:val="center"/>
              <w:rPr>
                <w:rFonts w:eastAsia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8" w:type="dxa"/>
            <w:vMerge w:val="continue"/>
            <w:vAlign w:val="center"/>
          </w:tcPr>
          <w:p w14:paraId="5E808CAE">
            <w:pPr>
              <w:spacing w:line="360" w:lineRule="auto"/>
              <w:jc w:val="center"/>
              <w:rPr>
                <w:rFonts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961" w:type="dxa"/>
            <w:vAlign w:val="center"/>
          </w:tcPr>
          <w:p w14:paraId="5F5C81A2">
            <w:pPr>
              <w:pStyle w:val="16"/>
              <w:numPr>
                <w:ilvl w:val="0"/>
                <w:numId w:val="7"/>
              </w:numPr>
              <w:spacing w:line="360" w:lineRule="auto"/>
              <w:ind w:firstLineChars="0"/>
              <w:jc w:val="left"/>
              <w:rPr>
                <w:rFonts w:asciiTheme="majorEastAsia" w:hAnsiTheme="majorEastAsia" w:eastAsiaTheme="majorEastAsia" w:cstheme="maj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将线圈挂在铁架台上，并套入磁体；</w:t>
            </w:r>
          </w:p>
        </w:tc>
        <w:tc>
          <w:tcPr>
            <w:tcW w:w="1213" w:type="dxa"/>
            <w:vAlign w:val="center"/>
          </w:tcPr>
          <w:p w14:paraId="58FA06F4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</w:tr>
      <w:tr w14:paraId="077B29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Merge w:val="continue"/>
            <w:vAlign w:val="center"/>
          </w:tcPr>
          <w:p w14:paraId="2238EF31">
            <w:pPr>
              <w:spacing w:line="360" w:lineRule="auto"/>
              <w:jc w:val="center"/>
              <w:rPr>
                <w:rFonts w:eastAsia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8" w:type="dxa"/>
            <w:vMerge w:val="continue"/>
            <w:vAlign w:val="center"/>
          </w:tcPr>
          <w:p w14:paraId="465FDE74">
            <w:pPr>
              <w:spacing w:line="360" w:lineRule="auto"/>
              <w:jc w:val="center"/>
              <w:rPr>
                <w:rFonts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961" w:type="dxa"/>
            <w:vAlign w:val="center"/>
          </w:tcPr>
          <w:p w14:paraId="775B4FE3">
            <w:pPr>
              <w:pStyle w:val="5"/>
              <w:numPr>
                <w:ilvl w:val="0"/>
                <w:numId w:val="7"/>
              </w:numPr>
              <w:adjustRightInd w:val="0"/>
              <w:snapToGrid w:val="0"/>
              <w:spacing w:before="156" w:after="156" w:line="276" w:lineRule="auto"/>
              <w:rPr>
                <w:rFonts w:asciiTheme="majorEastAsia" w:hAnsiTheme="majorEastAsia" w:eastAsiaTheme="majorEastAsia" w:cstheme="maj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把灵敏电流计、开关、线圈串联；</w:t>
            </w:r>
          </w:p>
        </w:tc>
        <w:tc>
          <w:tcPr>
            <w:tcW w:w="1213" w:type="dxa"/>
            <w:vAlign w:val="center"/>
          </w:tcPr>
          <w:p w14:paraId="16AA2BA4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</w:tr>
      <w:tr w14:paraId="6CBA1F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Merge w:val="restart"/>
            <w:vAlign w:val="center"/>
          </w:tcPr>
          <w:p w14:paraId="7C00D809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418" w:type="dxa"/>
            <w:vMerge w:val="restart"/>
            <w:vAlign w:val="center"/>
          </w:tcPr>
          <w:p w14:paraId="4705E663">
            <w:pPr>
              <w:spacing w:line="360" w:lineRule="auto"/>
              <w:jc w:val="center"/>
              <w:rPr>
                <w:rFonts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观察电流计情况</w:t>
            </w:r>
          </w:p>
          <w:p w14:paraId="17492D9A">
            <w:pPr>
              <w:spacing w:line="360" w:lineRule="auto"/>
              <w:jc w:val="center"/>
              <w:rPr>
                <w:rFonts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50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％</w:t>
            </w:r>
          </w:p>
        </w:tc>
        <w:tc>
          <w:tcPr>
            <w:tcW w:w="4961" w:type="dxa"/>
            <w:vAlign w:val="center"/>
          </w:tcPr>
          <w:p w14:paraId="3E6FD3DB">
            <w:pPr>
              <w:pStyle w:val="16"/>
              <w:numPr>
                <w:ilvl w:val="0"/>
                <w:numId w:val="8"/>
              </w:numPr>
              <w:spacing w:line="360" w:lineRule="auto"/>
              <w:ind w:firstLineChars="0"/>
              <w:jc w:val="left"/>
              <w:rPr>
                <w:rFonts w:eastAsiaTheme="majorEastAsia" w:cs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断开开关，任意移动线圈，观察电流计指针是否偏转并将</w:t>
            </w:r>
            <w:r>
              <w:rPr>
                <w:rFonts w:hint="eastAsia" w:eastAsiaTheme="majorEastAsia" w:cs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实验现象填入表格</w:t>
            </w:r>
          </w:p>
        </w:tc>
        <w:tc>
          <w:tcPr>
            <w:tcW w:w="1213" w:type="dxa"/>
            <w:vAlign w:val="center"/>
          </w:tcPr>
          <w:p w14:paraId="14D93C40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</w:tr>
      <w:tr w14:paraId="1EAF28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9" w:hRule="atLeast"/>
          <w:jc w:val="center"/>
        </w:trPr>
        <w:tc>
          <w:tcPr>
            <w:tcW w:w="704" w:type="dxa"/>
            <w:vMerge w:val="continue"/>
            <w:vAlign w:val="center"/>
          </w:tcPr>
          <w:p w14:paraId="4C966943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8" w:type="dxa"/>
            <w:vMerge w:val="continue"/>
            <w:vAlign w:val="center"/>
          </w:tcPr>
          <w:p w14:paraId="2C112E5E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961" w:type="dxa"/>
            <w:vAlign w:val="center"/>
          </w:tcPr>
          <w:p w14:paraId="7BFE7D35">
            <w:pPr>
              <w:pStyle w:val="16"/>
              <w:numPr>
                <w:ilvl w:val="0"/>
                <w:numId w:val="8"/>
              </w:numPr>
              <w:spacing w:line="360" w:lineRule="auto"/>
              <w:ind w:firstLineChars="0"/>
              <w:jc w:val="left"/>
              <w:rPr>
                <w:rFonts w:hAnsi="宋体" w:cs="Times New Roman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Theme="majorEastAsia" w:cs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闭合开关，使线圈保持静止，观察电流计指针是否偏转</w:t>
            </w:r>
            <w:r>
              <w:rPr>
                <w:rFonts w:hint="eastAsia" w:asciiTheme="majorEastAsia" w:hAnsiTheme="majorEastAsia" w:eastAsiaTheme="majorEastAsia" w:cstheme="maj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并将</w:t>
            </w:r>
            <w:r>
              <w:rPr>
                <w:rFonts w:hint="eastAsia" w:eastAsiaTheme="majorEastAsia" w:cs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实验现象填入表格</w:t>
            </w:r>
          </w:p>
        </w:tc>
        <w:tc>
          <w:tcPr>
            <w:tcW w:w="1213" w:type="dxa"/>
            <w:vAlign w:val="center"/>
          </w:tcPr>
          <w:p w14:paraId="05955F16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</w:tr>
      <w:tr w14:paraId="6DCA6B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Merge w:val="continue"/>
            <w:vAlign w:val="center"/>
          </w:tcPr>
          <w:p w14:paraId="3029FCB8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8" w:type="dxa"/>
            <w:vMerge w:val="continue"/>
            <w:vAlign w:val="center"/>
          </w:tcPr>
          <w:p w14:paraId="0D47DA97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961" w:type="dxa"/>
            <w:vAlign w:val="center"/>
          </w:tcPr>
          <w:p w14:paraId="146AB778">
            <w:pPr>
              <w:pStyle w:val="16"/>
              <w:numPr>
                <w:ilvl w:val="0"/>
                <w:numId w:val="8"/>
              </w:numPr>
              <w:spacing w:line="360" w:lineRule="auto"/>
              <w:ind w:firstLineChars="0"/>
              <w:jc w:val="left"/>
              <w:rPr>
                <w:rFonts w:eastAsiaTheme="majorEastAsia" w:cs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Theme="majorEastAsia" w:cs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将线圈在蹄形磁体中前后移动，观察电流计指针是否偏转</w:t>
            </w:r>
            <w:r>
              <w:rPr>
                <w:rFonts w:hint="eastAsia" w:asciiTheme="majorEastAsia" w:hAnsiTheme="majorEastAsia" w:eastAsiaTheme="majorEastAsia" w:cstheme="maj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并将</w:t>
            </w:r>
            <w:r>
              <w:rPr>
                <w:rFonts w:hint="eastAsia" w:eastAsiaTheme="majorEastAsia" w:cs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实验现象填入表格</w:t>
            </w:r>
          </w:p>
        </w:tc>
        <w:tc>
          <w:tcPr>
            <w:tcW w:w="1213" w:type="dxa"/>
            <w:vAlign w:val="center"/>
          </w:tcPr>
          <w:p w14:paraId="78BCA33B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</w:tr>
      <w:tr w14:paraId="4914FC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Merge w:val="continue"/>
            <w:vAlign w:val="center"/>
          </w:tcPr>
          <w:p w14:paraId="0E965E2D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8" w:type="dxa"/>
            <w:vMerge w:val="continue"/>
            <w:vAlign w:val="center"/>
          </w:tcPr>
          <w:p w14:paraId="74CE2C3A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961" w:type="dxa"/>
            <w:vAlign w:val="center"/>
          </w:tcPr>
          <w:p w14:paraId="70C218C8">
            <w:pPr>
              <w:pStyle w:val="16"/>
              <w:numPr>
                <w:ilvl w:val="0"/>
                <w:numId w:val="8"/>
              </w:numPr>
              <w:spacing w:line="360" w:lineRule="auto"/>
              <w:ind w:firstLineChars="0"/>
              <w:jc w:val="left"/>
              <w:rPr>
                <w:rFonts w:eastAsiaTheme="majorEastAsia" w:cs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Theme="majorEastAsia" w:cs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将线圈在蹄形磁体中上下移动，观察电流计指针是否偏转</w:t>
            </w:r>
            <w:r>
              <w:rPr>
                <w:rFonts w:hint="eastAsia" w:asciiTheme="majorEastAsia" w:hAnsiTheme="majorEastAsia" w:eastAsiaTheme="majorEastAsia" w:cstheme="maj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并将</w:t>
            </w:r>
            <w:r>
              <w:rPr>
                <w:rFonts w:hint="eastAsia" w:eastAsiaTheme="majorEastAsia" w:cs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实验现象填入表格</w:t>
            </w:r>
          </w:p>
        </w:tc>
        <w:tc>
          <w:tcPr>
            <w:tcW w:w="1213" w:type="dxa"/>
            <w:vAlign w:val="center"/>
          </w:tcPr>
          <w:p w14:paraId="0FA82416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</w:tr>
      <w:tr w14:paraId="12B6EF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Merge w:val="continue"/>
            <w:vAlign w:val="center"/>
          </w:tcPr>
          <w:p w14:paraId="21D424F8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8" w:type="dxa"/>
            <w:vMerge w:val="continue"/>
            <w:vAlign w:val="center"/>
          </w:tcPr>
          <w:p w14:paraId="1712C38F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961" w:type="dxa"/>
            <w:vAlign w:val="center"/>
          </w:tcPr>
          <w:p w14:paraId="0BE7626D">
            <w:pPr>
              <w:pStyle w:val="16"/>
              <w:numPr>
                <w:ilvl w:val="0"/>
                <w:numId w:val="8"/>
              </w:numPr>
              <w:spacing w:line="360" w:lineRule="auto"/>
              <w:ind w:firstLineChars="0"/>
              <w:jc w:val="left"/>
              <w:rPr>
                <w:rFonts w:eastAsiaTheme="majorEastAsia" w:cs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Theme="majorEastAsia" w:cs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将线圈在蹄形磁体中左右移动，观察电流计指针是否偏转</w:t>
            </w:r>
            <w:r>
              <w:rPr>
                <w:rFonts w:hint="eastAsia" w:asciiTheme="majorEastAsia" w:hAnsiTheme="majorEastAsia" w:eastAsiaTheme="majorEastAsia" w:cstheme="major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并将</w:t>
            </w:r>
            <w:r>
              <w:rPr>
                <w:rFonts w:hint="eastAsia" w:eastAsiaTheme="majorEastAsia" w:cs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实验现象填入表格</w:t>
            </w:r>
          </w:p>
        </w:tc>
        <w:tc>
          <w:tcPr>
            <w:tcW w:w="1213" w:type="dxa"/>
            <w:vAlign w:val="center"/>
          </w:tcPr>
          <w:p w14:paraId="039B055E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</w:tr>
      <w:tr w14:paraId="157C61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Align w:val="center"/>
          </w:tcPr>
          <w:p w14:paraId="58059933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418" w:type="dxa"/>
            <w:vAlign w:val="center"/>
          </w:tcPr>
          <w:p w14:paraId="76003A68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实验结论（2</w:t>
            </w: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0%</w:t>
            </w: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4961" w:type="dxa"/>
            <w:vAlign w:val="center"/>
          </w:tcPr>
          <w:p w14:paraId="27612F97">
            <w:pPr>
              <w:spacing w:line="360" w:lineRule="auto"/>
              <w:jc w:val="left"/>
              <w:rPr>
                <w:rFonts w:eastAsiaTheme="majorEastAsia" w:cs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Theme="majorEastAsia" w:cs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填写实验结论</w:t>
            </w:r>
          </w:p>
        </w:tc>
        <w:tc>
          <w:tcPr>
            <w:tcW w:w="1213" w:type="dxa"/>
            <w:vAlign w:val="center"/>
          </w:tcPr>
          <w:p w14:paraId="0C643425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</w:tr>
      <w:tr w14:paraId="483351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Merge w:val="restart"/>
            <w:vAlign w:val="center"/>
          </w:tcPr>
          <w:p w14:paraId="06AE286B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1418" w:type="dxa"/>
            <w:vMerge w:val="restart"/>
            <w:vAlign w:val="center"/>
          </w:tcPr>
          <w:p w14:paraId="184A1024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实验收尾</w:t>
            </w:r>
          </w:p>
          <w:p w14:paraId="57BFD93A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12</w:t>
            </w:r>
            <w:r>
              <w:rPr>
                <w:rFonts w:hint="eastAsia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％</w:t>
            </w:r>
          </w:p>
        </w:tc>
        <w:tc>
          <w:tcPr>
            <w:tcW w:w="4961" w:type="dxa"/>
            <w:vAlign w:val="center"/>
          </w:tcPr>
          <w:p w14:paraId="2E328C69">
            <w:pPr>
              <w:spacing w:line="360" w:lineRule="auto"/>
              <w:jc w:val="left"/>
              <w:rPr>
                <w:rFonts w:eastAsiaTheme="majorEastAsia" w:cs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Theme="majorEastAsia" w:cs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eastAsiaTheme="majorEastAsia" w:cs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 w:eastAsiaTheme="majorEastAsia" w:cs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断开开关；</w:t>
            </w:r>
          </w:p>
        </w:tc>
        <w:tc>
          <w:tcPr>
            <w:tcW w:w="1213" w:type="dxa"/>
            <w:vAlign w:val="center"/>
          </w:tcPr>
          <w:p w14:paraId="2F407A0F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</w:tr>
      <w:tr w14:paraId="06BC64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04" w:type="dxa"/>
            <w:vMerge w:val="continue"/>
            <w:vAlign w:val="center"/>
          </w:tcPr>
          <w:p w14:paraId="2224816E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18" w:type="dxa"/>
            <w:vMerge w:val="continue"/>
            <w:vAlign w:val="center"/>
          </w:tcPr>
          <w:p w14:paraId="3B683597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4961" w:type="dxa"/>
            <w:vAlign w:val="center"/>
          </w:tcPr>
          <w:p w14:paraId="2E8E6FD7">
            <w:pPr>
              <w:pStyle w:val="16"/>
              <w:spacing w:line="360" w:lineRule="auto"/>
              <w:ind w:firstLine="0" w:firstLineChars="0"/>
              <w:jc w:val="left"/>
              <w:rPr>
                <w:rFonts w:eastAsiaTheme="majorEastAsia" w:cs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eastAsiaTheme="majorEastAsia" w:cstheme="minorHAnsi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2.整理仪器，结束实验；</w:t>
            </w:r>
          </w:p>
        </w:tc>
        <w:tc>
          <w:tcPr>
            <w:tcW w:w="1213" w:type="dxa"/>
            <w:vAlign w:val="center"/>
          </w:tcPr>
          <w:p w14:paraId="2F523FD7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</w:tr>
    </w:tbl>
    <w:p w14:paraId="72364AF4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sectPr>
      <w:footerReference r:id="rId5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A963D2">
    <w:pPr>
      <w:pStyle w:val="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9EE4C65">
                          <w:pPr>
                            <w:pStyle w:val="6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9j2DAsAgAAV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r2PYMC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9EE4C65">
                    <w:pPr>
                      <w:pStyle w:val="6"/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91B24C">
    <w:pPr>
      <w:pStyle w:val="6"/>
    </w:pP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EEEB61C">
                          <w:pPr>
                            <w:pStyle w:val="6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66C/ssAgAAVQQAAA4AAABkcnMvZTJvRG9jLnhtbK1UzY7TMBC+I/EO&#10;lu80aRG7Vd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Wh1ywLG/1geYSO&#10;4nm73AcImHSNovRKnLVCt6XKnCcjtvOf+xT1+DdY/AZ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nroL+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EEEB61C">
                    <w:pPr>
                      <w:pStyle w:val="6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1B04D3">
                          <w:pPr>
                            <w:pStyle w:val="6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CbVWnM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71B04D3">
                    <w:pPr>
                      <w:pStyle w:val="6"/>
                    </w:pP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0BE994">
    <w:pPr>
      <w:pStyle w:val="7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4EE73B1"/>
    <w:multiLevelType w:val="multilevel"/>
    <w:tmpl w:val="24EE73B1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 w:eastAsiaTheme="minorEastAsia"/>
        <w:color w:val="000000" w:themeColor="text1"/>
        <w14:textFill>
          <w14:solidFill>
            <w14:schemeClr w14:val="tx1"/>
          </w14:solidFill>
        </w14:textFill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8475981"/>
    <w:multiLevelType w:val="multilevel"/>
    <w:tmpl w:val="28475981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2470084"/>
    <w:multiLevelType w:val="multilevel"/>
    <w:tmpl w:val="32470084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1226EDE"/>
    <w:multiLevelType w:val="multilevel"/>
    <w:tmpl w:val="41226EDE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23702CC"/>
    <w:multiLevelType w:val="multilevel"/>
    <w:tmpl w:val="423702CC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4981270B"/>
    <w:multiLevelType w:val="multilevel"/>
    <w:tmpl w:val="4981270B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3F778BA"/>
    <w:multiLevelType w:val="multilevel"/>
    <w:tmpl w:val="53F778BA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 w:eastAsiaTheme="minor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7A23560C"/>
    <w:multiLevelType w:val="multilevel"/>
    <w:tmpl w:val="7A23560C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5"/>
  </w:num>
  <w:num w:numId="5">
    <w:abstractNumId w:val="2"/>
  </w:num>
  <w:num w:numId="6">
    <w:abstractNumId w:val="3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9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JkNmE3NWJmMGViOTdhZjk0MmVlODYyZjg5N2VhYjYifQ=="/>
  </w:docVars>
  <w:rsids>
    <w:rsidRoot w:val="00C35E4C"/>
    <w:rsid w:val="00007A73"/>
    <w:rsid w:val="00022894"/>
    <w:rsid w:val="00041E62"/>
    <w:rsid w:val="00044F92"/>
    <w:rsid w:val="000775AE"/>
    <w:rsid w:val="00093F0B"/>
    <w:rsid w:val="000B01BB"/>
    <w:rsid w:val="000E0970"/>
    <w:rsid w:val="000E5B58"/>
    <w:rsid w:val="000E731A"/>
    <w:rsid w:val="000F65A7"/>
    <w:rsid w:val="00107A07"/>
    <w:rsid w:val="00122661"/>
    <w:rsid w:val="00143DD7"/>
    <w:rsid w:val="00150D1D"/>
    <w:rsid w:val="0018081E"/>
    <w:rsid w:val="001A1E57"/>
    <w:rsid w:val="001B2222"/>
    <w:rsid w:val="0028489C"/>
    <w:rsid w:val="002A179E"/>
    <w:rsid w:val="002F72DF"/>
    <w:rsid w:val="00343B36"/>
    <w:rsid w:val="00356D38"/>
    <w:rsid w:val="00372BCB"/>
    <w:rsid w:val="003A3BE1"/>
    <w:rsid w:val="003D0ECD"/>
    <w:rsid w:val="003F7141"/>
    <w:rsid w:val="00451818"/>
    <w:rsid w:val="004E14B2"/>
    <w:rsid w:val="004E3C48"/>
    <w:rsid w:val="00513669"/>
    <w:rsid w:val="00530998"/>
    <w:rsid w:val="00530BE9"/>
    <w:rsid w:val="005644D3"/>
    <w:rsid w:val="00592DFE"/>
    <w:rsid w:val="005A3B99"/>
    <w:rsid w:val="005A4D85"/>
    <w:rsid w:val="006353B5"/>
    <w:rsid w:val="00667EA3"/>
    <w:rsid w:val="006710A4"/>
    <w:rsid w:val="0068273D"/>
    <w:rsid w:val="00697994"/>
    <w:rsid w:val="006B165A"/>
    <w:rsid w:val="006F45CA"/>
    <w:rsid w:val="006F4862"/>
    <w:rsid w:val="00713263"/>
    <w:rsid w:val="00715CC8"/>
    <w:rsid w:val="00732740"/>
    <w:rsid w:val="00735D99"/>
    <w:rsid w:val="00740BDF"/>
    <w:rsid w:val="0075324C"/>
    <w:rsid w:val="00783BEA"/>
    <w:rsid w:val="007A234F"/>
    <w:rsid w:val="007D66CD"/>
    <w:rsid w:val="00820A69"/>
    <w:rsid w:val="00834CF1"/>
    <w:rsid w:val="00872C6F"/>
    <w:rsid w:val="008E30F8"/>
    <w:rsid w:val="00910DF0"/>
    <w:rsid w:val="00923B4F"/>
    <w:rsid w:val="009250EA"/>
    <w:rsid w:val="00967FD7"/>
    <w:rsid w:val="00984FDD"/>
    <w:rsid w:val="009A1709"/>
    <w:rsid w:val="009E70F5"/>
    <w:rsid w:val="009F3C36"/>
    <w:rsid w:val="00A030FD"/>
    <w:rsid w:val="00A11369"/>
    <w:rsid w:val="00A263DA"/>
    <w:rsid w:val="00A315FA"/>
    <w:rsid w:val="00A75FB9"/>
    <w:rsid w:val="00A830EC"/>
    <w:rsid w:val="00A8457C"/>
    <w:rsid w:val="00AD07D9"/>
    <w:rsid w:val="00AE4746"/>
    <w:rsid w:val="00AF4019"/>
    <w:rsid w:val="00AF769C"/>
    <w:rsid w:val="00B5759A"/>
    <w:rsid w:val="00B734BC"/>
    <w:rsid w:val="00B80422"/>
    <w:rsid w:val="00B8181C"/>
    <w:rsid w:val="00B9087C"/>
    <w:rsid w:val="00B97D0E"/>
    <w:rsid w:val="00C15A12"/>
    <w:rsid w:val="00C3545B"/>
    <w:rsid w:val="00C35E4C"/>
    <w:rsid w:val="00C8687A"/>
    <w:rsid w:val="00CA0175"/>
    <w:rsid w:val="00CA731F"/>
    <w:rsid w:val="00CB4069"/>
    <w:rsid w:val="00CC0A95"/>
    <w:rsid w:val="00CD3F81"/>
    <w:rsid w:val="00D1156F"/>
    <w:rsid w:val="00D12193"/>
    <w:rsid w:val="00D27A2C"/>
    <w:rsid w:val="00D67171"/>
    <w:rsid w:val="00D84EC0"/>
    <w:rsid w:val="00DC0915"/>
    <w:rsid w:val="00DC7ED8"/>
    <w:rsid w:val="00E10509"/>
    <w:rsid w:val="00E3113B"/>
    <w:rsid w:val="00E35FF1"/>
    <w:rsid w:val="00E44819"/>
    <w:rsid w:val="00E7179D"/>
    <w:rsid w:val="00F3121A"/>
    <w:rsid w:val="00F32633"/>
    <w:rsid w:val="00F32CF0"/>
    <w:rsid w:val="00F93ADD"/>
    <w:rsid w:val="00FA1BF9"/>
    <w:rsid w:val="00FE58BB"/>
    <w:rsid w:val="01225D48"/>
    <w:rsid w:val="02A96D9B"/>
    <w:rsid w:val="05AF3B52"/>
    <w:rsid w:val="061211CB"/>
    <w:rsid w:val="08856DEC"/>
    <w:rsid w:val="092A791F"/>
    <w:rsid w:val="09D83C1F"/>
    <w:rsid w:val="0A775E1F"/>
    <w:rsid w:val="12271FB4"/>
    <w:rsid w:val="13313DF9"/>
    <w:rsid w:val="152C6A9B"/>
    <w:rsid w:val="1B2849AF"/>
    <w:rsid w:val="1C2E1406"/>
    <w:rsid w:val="1D8F1618"/>
    <w:rsid w:val="1FB57B5F"/>
    <w:rsid w:val="20A62B43"/>
    <w:rsid w:val="213C6731"/>
    <w:rsid w:val="21C422DC"/>
    <w:rsid w:val="24491A2A"/>
    <w:rsid w:val="25186BC6"/>
    <w:rsid w:val="27A622B9"/>
    <w:rsid w:val="2BAE7013"/>
    <w:rsid w:val="2F932BA4"/>
    <w:rsid w:val="300D64A9"/>
    <w:rsid w:val="30E21348"/>
    <w:rsid w:val="322113A1"/>
    <w:rsid w:val="32C9234D"/>
    <w:rsid w:val="3364671A"/>
    <w:rsid w:val="344813B3"/>
    <w:rsid w:val="37EF7C5B"/>
    <w:rsid w:val="39ED2980"/>
    <w:rsid w:val="3A233BEC"/>
    <w:rsid w:val="3A9B15BF"/>
    <w:rsid w:val="3D5B3625"/>
    <w:rsid w:val="3F03223E"/>
    <w:rsid w:val="3F6D3035"/>
    <w:rsid w:val="3FFE208A"/>
    <w:rsid w:val="438248C6"/>
    <w:rsid w:val="481E0472"/>
    <w:rsid w:val="48D22655"/>
    <w:rsid w:val="55937A20"/>
    <w:rsid w:val="562B5EAA"/>
    <w:rsid w:val="56AF0889"/>
    <w:rsid w:val="56DE06E8"/>
    <w:rsid w:val="584414A5"/>
    <w:rsid w:val="585B61BD"/>
    <w:rsid w:val="593B4656"/>
    <w:rsid w:val="5EDA628B"/>
    <w:rsid w:val="60D84E80"/>
    <w:rsid w:val="61460F2A"/>
    <w:rsid w:val="646C600B"/>
    <w:rsid w:val="65B25CA0"/>
    <w:rsid w:val="65FE6FC0"/>
    <w:rsid w:val="6635067F"/>
    <w:rsid w:val="68AF4719"/>
    <w:rsid w:val="6AB21A9C"/>
    <w:rsid w:val="6C4A7077"/>
    <w:rsid w:val="6CED1BF5"/>
    <w:rsid w:val="6E6E472E"/>
    <w:rsid w:val="6F5342FF"/>
    <w:rsid w:val="6FC86CAF"/>
    <w:rsid w:val="73CD7C29"/>
    <w:rsid w:val="74D379E1"/>
    <w:rsid w:val="7AE574D2"/>
    <w:rsid w:val="7B0E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6" w:lineRule="auto"/>
      <w:outlineLvl w:val="0"/>
    </w:pPr>
    <w:rPr>
      <w:b/>
      <w:kern w:val="44"/>
      <w:sz w:val="30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9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Plain Text"/>
    <w:basedOn w:val="1"/>
    <w:link w:val="17"/>
    <w:qFormat/>
    <w:uiPriority w:val="0"/>
    <w:rPr>
      <w:rFonts w:ascii="宋体" w:hAnsi="Courier New" w:cs="Courier New"/>
      <w:szCs w:val="21"/>
    </w:rPr>
  </w:style>
  <w:style w:type="paragraph" w:styleId="6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toc 1"/>
    <w:basedOn w:val="1"/>
    <w:next w:val="1"/>
    <w:unhideWhenUsed/>
    <w:qFormat/>
    <w:uiPriority w:val="39"/>
  </w:style>
  <w:style w:type="table" w:styleId="10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Hyperlink"/>
    <w:basedOn w:val="11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3">
    <w:name w:val="页眉 Char"/>
    <w:basedOn w:val="11"/>
    <w:link w:val="7"/>
    <w:qFormat/>
    <w:uiPriority w:val="99"/>
    <w:rPr>
      <w:sz w:val="18"/>
      <w:szCs w:val="18"/>
    </w:rPr>
  </w:style>
  <w:style w:type="character" w:customStyle="1" w:styleId="14">
    <w:name w:val="页脚 Char"/>
    <w:basedOn w:val="11"/>
    <w:link w:val="6"/>
    <w:qFormat/>
    <w:uiPriority w:val="99"/>
    <w:rPr>
      <w:sz w:val="18"/>
      <w:szCs w:val="18"/>
    </w:rPr>
  </w:style>
  <w:style w:type="paragraph" w:customStyle="1" w:styleId="15">
    <w:name w:val="WPSOffice手动目录 1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16">
    <w:name w:val="List Paragraph"/>
    <w:basedOn w:val="1"/>
    <w:qFormat/>
    <w:uiPriority w:val="34"/>
    <w:pPr>
      <w:ind w:firstLine="420" w:firstLineChars="200"/>
    </w:pPr>
  </w:style>
  <w:style w:type="character" w:customStyle="1" w:styleId="17">
    <w:name w:val="纯文本 Char"/>
    <w:basedOn w:val="11"/>
    <w:link w:val="5"/>
    <w:qFormat/>
    <w:uiPriority w:val="0"/>
    <w:rPr>
      <w:rFonts w:ascii="宋体" w:hAnsi="Courier New" w:cs="Courier New"/>
      <w:kern w:val="2"/>
      <w:sz w:val="21"/>
      <w:szCs w:val="21"/>
    </w:rPr>
  </w:style>
  <w:style w:type="paragraph" w:customStyle="1" w:styleId="18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color w:val="2E75B6" w:themeColor="accent1" w:themeShade="BF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644774C-E943-43C5-A8AC-0527AA951DD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776</Words>
  <Characters>825</Characters>
  <Lines>12</Lines>
  <Paragraphs>3</Paragraphs>
  <TotalTime>1</TotalTime>
  <ScaleCrop>false</ScaleCrop>
  <LinksUpToDate>false</LinksUpToDate>
  <CharactersWithSpaces>849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2023-02-27T01:43:00Z</dcterms:created>
  <dc:creator>C</dc:creator>
  <cp:lastModifiedBy>Administrator</cp:lastModifiedBy>
  <dcterms:modified xsi:type="dcterms:W3CDTF">2025-04-18T10:34:49Z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9CDF1BDB437640D191AC92660BBE099C</vt:lpwstr>
  </property>
  <property fmtid="{D5CDD505-2E9C-101B-9397-08002B2CF9AE}" pid="4" name="KSOTemplateDocerSaveRecord">
    <vt:lpwstr>eyJoZGlkIjoiOTJkNmE3NWJmMGViOTdhZjk0MmVlODYyZjg5N2VhYjYifQ==</vt:lpwstr>
  </property>
</Properties>
</file>